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p/>
    <w:p/>
    <w:p/>
    <w:p/>
    <w:p/>
    <w:p/>
    <w:p>
      <w:pPr>
        <w:adjustRightInd w:val="0"/>
        <w:snapToGrid w:val="0"/>
        <w:spacing w:line="640" w:lineRule="exact"/>
        <w:jc w:val="center"/>
        <w:rPr>
          <w:rFonts w:ascii="仿宋_GB2312" w:hAnsi="仿宋" w:eastAsia="仿宋_GB2312"/>
          <w:color w:val="000000"/>
          <w:sz w:val="32"/>
          <w:szCs w:val="32"/>
          <w:highlight w:val="yellow"/>
        </w:rPr>
      </w:pPr>
      <w:r>
        <w:rPr>
          <w:rFonts w:hint="eastAsia" w:ascii="仿宋_GB2312" w:hAnsi="仿宋" w:eastAsia="仿宋_GB2312" w:cs="仿宋_GB2312"/>
          <w:color w:val="000000"/>
          <w:sz w:val="32"/>
          <w:szCs w:val="32"/>
          <w:lang w:val="zh-CN"/>
        </w:rPr>
        <w:t>永环评〔20</w:t>
      </w:r>
      <w:r>
        <w:rPr>
          <w:rFonts w:hint="eastAsia" w:ascii="仿宋_GB2312" w:hAnsi="仿宋" w:eastAsia="仿宋_GB2312" w:cs="仿宋_GB2312"/>
          <w:color w:val="000000"/>
          <w:sz w:val="32"/>
          <w:szCs w:val="32"/>
        </w:rPr>
        <w:t>2</w:t>
      </w:r>
      <w:r>
        <w:rPr>
          <w:rFonts w:hint="eastAsia" w:ascii="仿宋_GB2312" w:hAnsi="仿宋" w:eastAsia="仿宋_GB2312" w:cs="仿宋_GB2312"/>
          <w:color w:val="000000"/>
          <w:sz w:val="32"/>
          <w:szCs w:val="32"/>
          <w:lang w:val="en-US" w:eastAsia="zh-CN"/>
        </w:rPr>
        <w:t>6</w:t>
      </w:r>
      <w:r>
        <w:rPr>
          <w:rFonts w:hint="eastAsia" w:ascii="仿宋_GB2312" w:hAnsi="仿宋" w:eastAsia="仿宋_GB2312" w:cs="仿宋_GB2312"/>
          <w:color w:val="000000"/>
          <w:sz w:val="32"/>
          <w:szCs w:val="32"/>
        </w:rPr>
        <w:t>〕</w:t>
      </w:r>
      <w:r>
        <w:rPr>
          <w:rFonts w:hint="eastAsia" w:ascii="仿宋_GB2312" w:hAnsi="仿宋" w:eastAsia="仿宋_GB2312" w:cs="仿宋_GB2312"/>
          <w:color w:val="000000"/>
          <w:sz w:val="32"/>
          <w:szCs w:val="32"/>
          <w:lang w:val="en-US" w:eastAsia="zh-CN"/>
        </w:rPr>
        <w:t>4</w:t>
      </w:r>
      <w:r>
        <w:rPr>
          <w:rFonts w:hint="eastAsia" w:ascii="仿宋_GB2312" w:hAnsi="仿宋" w:eastAsia="仿宋_GB2312" w:cs="仿宋_GB2312"/>
          <w:color w:val="000000"/>
          <w:sz w:val="32"/>
          <w:szCs w:val="32"/>
          <w:lang w:val="zh-CN"/>
        </w:rPr>
        <w:t>号</w:t>
      </w:r>
    </w:p>
    <w:p>
      <w:pPr>
        <w:adjustRightInd w:val="0"/>
        <w:snapToGrid w:val="0"/>
        <w:spacing w:line="640" w:lineRule="exact"/>
        <w:rPr>
          <w:rFonts w:ascii="仿宋" w:hAnsi="仿宋" w:eastAsia="仿宋"/>
          <w:b/>
          <w:bCs/>
          <w:color w:val="000000"/>
          <w:sz w:val="32"/>
          <w:szCs w:val="32"/>
        </w:rPr>
      </w:pPr>
    </w:p>
    <w:p>
      <w:pPr>
        <w:spacing w:line="600" w:lineRule="exact"/>
        <w:jc w:val="center"/>
        <w:rPr>
          <w:rFonts w:ascii="方正小标宋简体" w:hAnsi="方正小标宋简体" w:eastAsia="方正小标宋简体" w:cs="方正小标宋简体"/>
          <w:color w:val="000000"/>
          <w:spacing w:val="-11"/>
          <w:sz w:val="44"/>
          <w:szCs w:val="44"/>
          <w:lang w:val="zh-CN"/>
        </w:rPr>
      </w:pPr>
      <w:r>
        <w:rPr>
          <w:rFonts w:hint="eastAsia" w:ascii="方正小标宋简体" w:hAnsi="方正小标宋简体" w:eastAsia="方正小标宋简体" w:cs="方正小标宋简体"/>
          <w:color w:val="000000"/>
          <w:spacing w:val="-11"/>
          <w:sz w:val="44"/>
          <w:szCs w:val="44"/>
          <w:lang w:val="zh-CN"/>
        </w:rPr>
        <w:t>关于湖南鲁丽木业有限公司年产50万立方米高端饰面功能板项目环境影响报告书的批复</w:t>
      </w:r>
    </w:p>
    <w:p>
      <w:pPr>
        <w:spacing w:line="600" w:lineRule="exact"/>
        <w:ind w:firstLine="642" w:firstLineChars="200"/>
        <w:rPr>
          <w:rFonts w:ascii="仿宋_GB2312" w:hAnsi="仿宋_GB2312" w:eastAsia="仿宋_GB2312" w:cs="仿宋_GB2312"/>
          <w:b/>
          <w:bCs/>
          <w:color w:val="000000"/>
          <w:sz w:val="32"/>
          <w:szCs w:val="32"/>
        </w:rPr>
      </w:pPr>
    </w:p>
    <w:p>
      <w:pPr>
        <w:snapToGrid w:val="0"/>
        <w:spacing w:line="60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湖南鲁丽木业有限公司：</w:t>
      </w:r>
    </w:p>
    <w:p>
      <w:pPr>
        <w:snapToGrid w:val="0"/>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你单位关于申请审批的报告和《湖南鲁丽木业有限公司年产50万立方米高端饰面功能板项目环境影响报告书》（报批稿）及相关附件收悉，经研究，现批复如下：</w:t>
      </w:r>
    </w:p>
    <w:p>
      <w:pPr>
        <w:snapToGrid w:val="0"/>
        <w:spacing w:line="600"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color w:val="000000"/>
          <w:sz w:val="32"/>
          <w:szCs w:val="32"/>
        </w:rPr>
        <w:t>一、湖南鲁丽木业有限公司年产50万立方米高端饰面功能板项目</w:t>
      </w:r>
      <w:r>
        <w:rPr>
          <w:rFonts w:hint="eastAsia" w:ascii="仿宋_GB2312" w:hAnsi="仿宋_GB2312" w:eastAsia="仿宋_GB2312" w:cs="仿宋_GB2312"/>
          <w:sz w:val="32"/>
          <w:szCs w:val="32"/>
        </w:rPr>
        <w:t>位于永州市</w:t>
      </w:r>
      <w:r>
        <w:rPr>
          <w:rFonts w:hint="eastAsia" w:ascii="仿宋_GB2312" w:hAnsi="仿宋_GB2312" w:eastAsia="仿宋_GB2312" w:cs="仿宋_GB2312"/>
          <w:sz w:val="32"/>
          <w:szCs w:val="32"/>
          <w:lang w:val="en-US" w:eastAsia="zh-CN"/>
        </w:rPr>
        <w:t>新田</w:t>
      </w:r>
      <w:r>
        <w:rPr>
          <w:rFonts w:hint="eastAsia" w:ascii="仿宋_GB2312" w:hAnsi="仿宋_GB2312" w:eastAsia="仿宋_GB2312" w:cs="仿宋_GB2312"/>
          <w:sz w:val="32"/>
          <w:szCs w:val="32"/>
        </w:rPr>
        <w:t>县龙泉街道双碧街与陶然街交汇处东南侧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湖南鲁丽木业有限公司现有厂区内</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kern w:val="0"/>
          <w:sz w:val="32"/>
          <w:szCs w:val="32"/>
          <w:lang w:bidi="ar"/>
        </w:rPr>
        <w:t>，</w:t>
      </w:r>
      <w:r>
        <w:rPr>
          <w:rFonts w:hint="eastAsia" w:ascii="仿宋_GB2312" w:hAnsi="仿宋_GB2312" w:eastAsia="仿宋_GB2312" w:cs="仿宋_GB2312"/>
          <w:kern w:val="0"/>
          <w:sz w:val="32"/>
          <w:szCs w:val="32"/>
          <w:lang w:val="en-US" w:eastAsia="zh-CN" w:bidi="ar"/>
        </w:rPr>
        <w:t>占地</w:t>
      </w:r>
      <w:r>
        <w:rPr>
          <w:rFonts w:hint="eastAsia" w:ascii="仿宋_GB2312" w:hAnsi="仿宋_GB2312" w:eastAsia="仿宋_GB2312" w:cs="仿宋_GB2312"/>
          <w:kern w:val="0"/>
          <w:sz w:val="32"/>
          <w:szCs w:val="32"/>
          <w:lang w:bidi="ar"/>
        </w:rPr>
        <w:t>36875.00m</w:t>
      </w:r>
      <w:r>
        <w:rPr>
          <w:rFonts w:hint="eastAsia" w:ascii="仿宋_GB2312" w:hAnsi="仿宋_GB2312" w:eastAsia="仿宋_GB2312" w:cs="仿宋_GB2312"/>
          <w:kern w:val="0"/>
          <w:sz w:val="32"/>
          <w:szCs w:val="32"/>
          <w:vertAlign w:val="superscript"/>
          <w:lang w:bidi="ar"/>
        </w:rPr>
        <w:t>2</w:t>
      </w:r>
      <w:r>
        <w:rPr>
          <w:rFonts w:hint="eastAsia" w:ascii="仿宋_GB2312" w:hAnsi="仿宋_GB2312" w:eastAsia="仿宋_GB2312" w:cs="仿宋_GB2312"/>
          <w:kern w:val="0"/>
          <w:sz w:val="32"/>
          <w:szCs w:val="32"/>
          <w:lang w:bidi="ar"/>
        </w:rPr>
        <w:t>（55.31亩），总建筑面积24159.53</w:t>
      </w:r>
      <w:r>
        <w:rPr>
          <w:rFonts w:hint="eastAsia" w:ascii="仿宋_GB2312" w:hAnsi="仿宋_GB2312" w:eastAsia="仿宋_GB2312" w:cs="仿宋_GB2312"/>
          <w:kern w:val="0"/>
          <w:sz w:val="32"/>
          <w:szCs w:val="32"/>
          <w:lang w:eastAsia="zh-CN" w:bidi="ar"/>
        </w:rPr>
        <w:t xml:space="preserve"> </w:t>
      </w:r>
      <w:r>
        <w:rPr>
          <w:rFonts w:hint="eastAsia" w:ascii="仿宋_GB2312" w:hAnsi="仿宋_GB2312" w:eastAsia="仿宋_GB2312" w:cs="仿宋_GB2312"/>
          <w:kern w:val="0"/>
          <w:sz w:val="32"/>
          <w:szCs w:val="32"/>
          <w:lang w:bidi="ar"/>
        </w:rPr>
        <w:t>m</w:t>
      </w:r>
      <w:r>
        <w:rPr>
          <w:rFonts w:hint="eastAsia" w:ascii="仿宋_GB2312" w:hAnsi="仿宋_GB2312" w:eastAsia="仿宋_GB2312" w:cs="仿宋_GB2312"/>
          <w:kern w:val="0"/>
          <w:sz w:val="32"/>
          <w:szCs w:val="32"/>
          <w:vertAlign w:val="superscript"/>
          <w:lang w:bidi="ar"/>
        </w:rPr>
        <w:t>2</w:t>
      </w:r>
      <w:r>
        <w:rPr>
          <w:rFonts w:hint="eastAsia" w:ascii="仿宋_GB2312" w:hAnsi="仿宋_GB2312" w:eastAsia="仿宋_GB2312" w:cs="仿宋_GB2312"/>
          <w:kern w:val="0"/>
          <w:sz w:val="32"/>
          <w:szCs w:val="32"/>
          <w:lang w:eastAsia="zh-CN" w:bidi="ar"/>
        </w:rPr>
        <w:t>。</w:t>
      </w:r>
      <w:r>
        <w:rPr>
          <w:rFonts w:hint="eastAsia" w:ascii="仿宋_GB2312" w:hAnsi="仿宋_GB2312" w:eastAsia="仿宋_GB2312" w:cs="仿宋_GB2312"/>
          <w:kern w:val="0"/>
          <w:sz w:val="32"/>
          <w:szCs w:val="32"/>
          <w:lang w:val="en-US" w:eastAsia="zh-CN" w:bidi="ar"/>
        </w:rPr>
        <w:t>本项目</w:t>
      </w:r>
      <w:r>
        <w:rPr>
          <w:rFonts w:hint="eastAsia" w:ascii="仿宋_GB2312" w:hAnsi="仿宋_GB2312" w:eastAsia="仿宋_GB2312" w:cs="仿宋_GB2312"/>
          <w:kern w:val="0"/>
          <w:sz w:val="32"/>
          <w:szCs w:val="32"/>
          <w:lang w:bidi="ar"/>
        </w:rPr>
        <w:t>新建生产车间1座，</w:t>
      </w:r>
      <w:r>
        <w:rPr>
          <w:rFonts w:hint="eastAsia" w:ascii="仿宋_GB2312" w:hAnsi="仿宋_GB2312" w:eastAsia="仿宋_GB2312" w:cs="仿宋_GB2312"/>
          <w:kern w:val="0"/>
          <w:sz w:val="32"/>
          <w:szCs w:val="32"/>
          <w:lang w:val="en-US" w:eastAsia="zh-CN" w:bidi="ar"/>
        </w:rPr>
        <w:t>以你单位年产2×80 万立方米刨花板生产线项目生产的刨花板为原料，外购三聚氰胺浸渍胶膜纸进行热压贴面，</w:t>
      </w:r>
      <w:r>
        <w:rPr>
          <w:rFonts w:hint="eastAsia" w:ascii="仿宋_GB2312" w:hAnsi="仿宋_GB2312" w:eastAsia="仿宋_GB2312" w:cs="仿宋_GB2312"/>
          <w:kern w:val="0"/>
          <w:sz w:val="32"/>
          <w:szCs w:val="32"/>
          <w:lang w:bidi="ar"/>
        </w:rPr>
        <w:t>配套道路、给排水、消防、绿化、环保、环卫设施和变配电等设施，建成</w:t>
      </w:r>
      <w:r>
        <w:rPr>
          <w:rFonts w:hint="eastAsia" w:ascii="仿宋_GB2312" w:hAnsi="仿宋_GB2312" w:eastAsia="仿宋_GB2312" w:cs="仿宋_GB2312"/>
          <w:kern w:val="0"/>
          <w:sz w:val="32"/>
          <w:szCs w:val="32"/>
          <w:lang w:val="en-US" w:eastAsia="zh-CN" w:bidi="ar"/>
        </w:rPr>
        <w:t>后</w:t>
      </w:r>
      <w:r>
        <w:rPr>
          <w:rFonts w:hint="eastAsia" w:ascii="仿宋_GB2312" w:hAnsi="仿宋_GB2312" w:eastAsia="仿宋_GB2312" w:cs="仿宋_GB2312"/>
          <w:kern w:val="0"/>
          <w:sz w:val="32"/>
          <w:szCs w:val="32"/>
          <w:lang w:bidi="ar"/>
        </w:rPr>
        <w:t>年产50万立方米高端饰面功能板。</w:t>
      </w:r>
      <w:r>
        <w:rPr>
          <w:rFonts w:hint="eastAsia" w:ascii="仿宋_GB2312" w:hAnsi="仿宋_GB2312" w:eastAsia="仿宋_GB2312" w:cs="仿宋_GB2312"/>
          <w:color w:val="000000"/>
          <w:sz w:val="32"/>
          <w:szCs w:val="32"/>
        </w:rPr>
        <w:t>项目</w:t>
      </w:r>
      <w:r>
        <w:rPr>
          <w:rFonts w:hint="eastAsia" w:ascii="仿宋_GB2312" w:hAnsi="仿宋_GB2312" w:eastAsia="仿宋_GB2312" w:cs="仿宋_GB2312"/>
          <w:kern w:val="0"/>
          <w:sz w:val="32"/>
          <w:szCs w:val="32"/>
          <w:lang w:bidi="ar"/>
        </w:rPr>
        <w:t>总</w:t>
      </w:r>
      <w:r>
        <w:rPr>
          <w:rFonts w:hint="eastAsia" w:ascii="仿宋_GB2312" w:hAnsi="仿宋_GB2312" w:eastAsia="仿宋_GB2312" w:cs="仿宋_GB2312"/>
          <w:color w:val="000000"/>
          <w:sz w:val="32"/>
          <w:szCs w:val="32"/>
        </w:rPr>
        <w:t>投</w:t>
      </w:r>
      <w:r>
        <w:rPr>
          <w:rFonts w:hint="eastAsia" w:ascii="仿宋_GB2312" w:hAnsi="仿宋_GB2312" w:eastAsia="仿宋_GB2312" w:cs="仿宋_GB2312"/>
          <w:kern w:val="0"/>
          <w:sz w:val="32"/>
          <w:szCs w:val="32"/>
          <w:lang w:bidi="ar"/>
        </w:rPr>
        <w:t>资45000万元，其中环保投资175.7万元，</w:t>
      </w:r>
      <w:r>
        <w:rPr>
          <w:rFonts w:hint="eastAsia" w:ascii="仿宋_GB2312" w:hAnsi="仿宋_GB2312" w:eastAsia="仿宋_GB2312" w:cs="仿宋_GB2312"/>
          <w:kern w:val="0"/>
          <w:sz w:val="32"/>
          <w:szCs w:val="32"/>
          <w:lang w:eastAsia="zh-CN" w:bidi="ar"/>
        </w:rPr>
        <w:t>约</w:t>
      </w:r>
      <w:r>
        <w:rPr>
          <w:rFonts w:hint="eastAsia" w:ascii="仿宋_GB2312" w:hAnsi="仿宋_GB2312" w:eastAsia="仿宋_GB2312" w:cs="仿宋_GB2312"/>
          <w:kern w:val="0"/>
          <w:sz w:val="32"/>
          <w:szCs w:val="32"/>
          <w:lang w:bidi="ar"/>
        </w:rPr>
        <w:t>占总投资的0.</w:t>
      </w:r>
      <w:r>
        <w:rPr>
          <w:rFonts w:hint="eastAsia" w:ascii="仿宋_GB2312" w:hAnsi="仿宋_GB2312" w:eastAsia="仿宋_GB2312" w:cs="仿宋_GB2312"/>
          <w:kern w:val="0"/>
          <w:sz w:val="32"/>
          <w:szCs w:val="32"/>
          <w:lang w:val="en-US" w:eastAsia="zh-CN" w:bidi="ar"/>
        </w:rPr>
        <w:t>39</w:t>
      </w:r>
      <w:r>
        <w:rPr>
          <w:rFonts w:hint="eastAsia" w:ascii="仿宋_GB2312" w:hAnsi="仿宋_GB2312" w:eastAsia="仿宋_GB2312" w:cs="仿宋_GB2312"/>
          <w:kern w:val="0"/>
          <w:sz w:val="32"/>
          <w:szCs w:val="32"/>
          <w:lang w:bidi="ar"/>
        </w:rPr>
        <w:t>%</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废水处理设施、危废暂存间、供热设施以及员工食堂等依托湖南鲁丽木业有限公司现有工程。</w:t>
      </w:r>
    </w:p>
    <w:p>
      <w:pPr>
        <w:pStyle w:val="8"/>
        <w:spacing w:before="0" w:beforeLines="0" w:after="0" w:afterLines="0" w:line="600" w:lineRule="exac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根据环评报告书中的分析结论、专家评审意见和永州市生态环境局</w:t>
      </w:r>
      <w:r>
        <w:rPr>
          <w:rFonts w:hint="eastAsia" w:ascii="仿宋_GB2312" w:hAnsi="仿宋_GB2312" w:eastAsia="仿宋_GB2312" w:cs="仿宋_GB2312"/>
          <w:color w:val="000000"/>
          <w:sz w:val="32"/>
          <w:szCs w:val="32"/>
          <w:lang w:val="en-US" w:eastAsia="zh-CN"/>
        </w:rPr>
        <w:t>新田</w:t>
      </w:r>
      <w:r>
        <w:rPr>
          <w:rFonts w:hint="eastAsia" w:ascii="仿宋_GB2312" w:hAnsi="仿宋_GB2312" w:eastAsia="仿宋_GB2312" w:cs="仿宋_GB2312"/>
          <w:color w:val="000000"/>
          <w:sz w:val="32"/>
          <w:szCs w:val="32"/>
        </w:rPr>
        <w:t>分局预审意见，在建设单位全面落实报告书和本批复提出的各项生态环境保护措施后，工程建设对环境的不利影响能够得到缓解和控制。依据《中华人民共和国环境影响评价法》第二十二条等规定，我局原则同意该项目按环境影响报告书所列工程的地点、性质、规模、工艺、环境保护措施进行建设。</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二、建设单位在项目设计、建设和运行期间，必须全面落实环评报告书提出的各项污染防治措施，并着重做好以下工作：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1、相关政策要求。项目应采用国内外先进的处理工艺，所选用的设备应符合国家产业政策及质量安全要求，选用工艺成熟、可靠的污染防治技术和设备，确保各项污染物达标排放。严格控制项目厂址周边土地使用性质，对项目所在地周边区域进行合理规划。在发生实际排污行为前办理排污许可手续，在申领排污许可手续前获得主要污染物排污权指标。</w:t>
      </w:r>
      <w:r>
        <w:rPr>
          <w:rFonts w:hint="eastAsia" w:ascii="仿宋_GB2312" w:hAnsi="仿宋_GB2312" w:eastAsia="仿宋_GB2312" w:cs="仿宋_GB2312"/>
          <w:color w:val="000000"/>
          <w:sz w:val="32"/>
          <w:szCs w:val="32"/>
          <w:lang w:val="en-US" w:eastAsia="zh-CN"/>
        </w:rPr>
        <w:t>现有工程环保手续不健全不完善的，应按规定及时办理完善。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2、废水污染防治。实行雨污分流、清污分流。</w:t>
      </w:r>
      <w:r>
        <w:rPr>
          <w:rFonts w:hint="eastAsia" w:ascii="仿宋_GB2312" w:hAnsi="仿宋_GB2312" w:eastAsia="仿宋_GB2312" w:cs="仿宋_GB2312"/>
          <w:color w:val="000000"/>
          <w:sz w:val="32"/>
          <w:szCs w:val="32"/>
          <w:lang w:val="en-US" w:eastAsia="zh-CN"/>
        </w:rPr>
        <w:t>营运期</w:t>
      </w:r>
      <w:r>
        <w:rPr>
          <w:rFonts w:hint="eastAsia" w:ascii="仿宋_GB2312" w:hAnsi="仿宋_GB2312" w:eastAsia="仿宋_GB2312" w:cs="仿宋_GB2312"/>
          <w:color w:val="000000"/>
          <w:sz w:val="32"/>
          <w:szCs w:val="32"/>
        </w:rPr>
        <w:t>地面清洁废水</w:t>
      </w:r>
      <w:r>
        <w:rPr>
          <w:rFonts w:hint="eastAsia" w:ascii="仿宋_GB2312" w:hAnsi="仿宋_GB2312" w:eastAsia="仿宋_GB2312" w:cs="仿宋_GB2312"/>
          <w:color w:val="000000"/>
          <w:sz w:val="32"/>
          <w:szCs w:val="32"/>
          <w:lang w:val="en-US" w:eastAsia="zh-CN"/>
        </w:rPr>
        <w:t>和</w:t>
      </w:r>
      <w:r>
        <w:rPr>
          <w:rFonts w:hint="eastAsia" w:ascii="仿宋_GB2312" w:hAnsi="仿宋_GB2312" w:eastAsia="仿宋_GB2312" w:cs="仿宋_GB2312"/>
          <w:color w:val="000000"/>
          <w:sz w:val="32"/>
          <w:szCs w:val="32"/>
        </w:rPr>
        <w:t>预处理后</w:t>
      </w:r>
      <w:r>
        <w:rPr>
          <w:rFonts w:hint="eastAsia" w:ascii="仿宋_GB2312" w:hAnsi="仿宋_GB2312" w:eastAsia="仿宋_GB2312" w:cs="仿宋_GB2312"/>
          <w:color w:val="000000"/>
          <w:sz w:val="32"/>
          <w:szCs w:val="32"/>
          <w:lang w:val="en-US" w:eastAsia="zh-CN"/>
        </w:rPr>
        <w:t>的生活污水进入厂区污水处理站处理达标后优先回用于本项目地面清洁，多余部分用于刨花板项目循环冷却水，不外排。</w:t>
      </w:r>
      <w:r>
        <w:rPr>
          <w:rFonts w:hint="eastAsia" w:ascii="仿宋_GB2312" w:hAnsi="仿宋_GB2312" w:eastAsia="仿宋_GB2312" w:cs="仿宋_GB2312"/>
          <w:color w:val="000000"/>
          <w:sz w:val="32"/>
          <w:szCs w:val="32"/>
        </w:rPr>
        <w:t>按防渗分区原则实行分区防渗，危废暂存间、污水处理站等要进行重点防渗。</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3、废气污染防治。施工期规范建设工地围挡，并采取有效抑尘措施，减少扬尘污染，无组织废气执行《大气污染物综合排放标准》（GB16297-1996）。</w:t>
      </w:r>
      <w:r>
        <w:rPr>
          <w:rFonts w:hint="eastAsia" w:ascii="仿宋_GB2312" w:hAnsi="仿宋_GB2312" w:eastAsia="仿宋_GB2312" w:cs="仿宋_GB2312"/>
          <w:color w:val="000000"/>
          <w:sz w:val="32"/>
          <w:szCs w:val="32"/>
          <w:lang w:val="en-US" w:eastAsia="zh-CN"/>
        </w:rPr>
        <w:t>营运期</w:t>
      </w:r>
      <w:r>
        <w:rPr>
          <w:rFonts w:hint="eastAsia" w:ascii="仿宋_GB2312" w:hAnsi="仿宋_GB2312" w:eastAsia="仿宋_GB2312" w:cs="仿宋_GB2312"/>
          <w:color w:val="000000"/>
          <w:sz w:val="32"/>
          <w:szCs w:val="32"/>
        </w:rPr>
        <w:t>热压废气经密闭软帘+集气罩收集，通过二级干式过滤+</w:t>
      </w:r>
      <w:r>
        <w:rPr>
          <w:rFonts w:hint="eastAsia" w:ascii="仿宋_GB2312" w:hAnsi="仿宋_GB2312" w:eastAsia="仿宋_GB2312" w:cs="仿宋_GB2312"/>
          <w:color w:val="000000"/>
          <w:sz w:val="32"/>
          <w:szCs w:val="32"/>
          <w:lang w:val="en-US" w:eastAsia="zh-CN"/>
        </w:rPr>
        <w:t>二级</w:t>
      </w:r>
      <w:r>
        <w:rPr>
          <w:rFonts w:hint="eastAsia" w:ascii="仿宋_GB2312" w:hAnsi="仿宋_GB2312" w:eastAsia="仿宋_GB2312" w:cs="仿宋_GB2312"/>
          <w:color w:val="000000"/>
          <w:sz w:val="32"/>
          <w:szCs w:val="32"/>
        </w:rPr>
        <w:t>活性炭吸附装置处理，</w:t>
      </w:r>
      <w:r>
        <w:rPr>
          <w:rFonts w:hint="eastAsia" w:ascii="仿宋_GB2312" w:hAnsi="仿宋_GB2312" w:eastAsia="仿宋_GB2312" w:cs="仿宋_GB2312"/>
          <w:color w:val="000000"/>
          <w:sz w:val="32"/>
          <w:szCs w:val="32"/>
          <w:lang w:val="en-US" w:eastAsia="zh-CN"/>
        </w:rPr>
        <w:t>满足《家具制造行业挥发性有机物排放标准》（DB43/1355-2017）表1及《大气污染物综合排放标准》（GB16297-1996）表2标准限值后</w:t>
      </w:r>
      <w:r>
        <w:rPr>
          <w:rFonts w:hint="eastAsia" w:ascii="仿宋_GB2312" w:hAnsi="仿宋_GB2312" w:eastAsia="仿宋_GB2312" w:cs="仿宋_GB2312"/>
          <w:color w:val="000000"/>
          <w:sz w:val="32"/>
          <w:szCs w:val="32"/>
        </w:rPr>
        <w:t>经18m排气筒排放</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表面清洁废气、修边废气经集气罩、抽风管道+布袋除尘处理满足《大气污染物综合排放标准》（GB16297-1996）表2标准限值后</w:t>
      </w:r>
      <w:r>
        <w:rPr>
          <w:rFonts w:hint="eastAsia" w:ascii="仿宋_GB2312" w:hAnsi="仿宋_GB2312" w:eastAsia="仿宋_GB2312" w:cs="仿宋_GB2312"/>
          <w:color w:val="000000"/>
          <w:sz w:val="32"/>
          <w:szCs w:val="32"/>
        </w:rPr>
        <w:t>经18m排气筒排放</w:t>
      </w:r>
      <w:r>
        <w:rPr>
          <w:rFonts w:hint="eastAsia" w:ascii="仿宋_GB2312" w:hAnsi="仿宋_GB2312" w:eastAsia="仿宋_GB2312" w:cs="仿宋_GB2312"/>
          <w:color w:val="000000"/>
          <w:sz w:val="32"/>
          <w:szCs w:val="32"/>
          <w:lang w:val="en-US" w:eastAsia="zh-CN"/>
        </w:rPr>
        <w:t>。厂区内挥发性有机物排放执行</w:t>
      </w:r>
      <w:r>
        <w:rPr>
          <w:rFonts w:hint="eastAsia" w:ascii="仿宋_GB2312" w:hAnsi="仿宋_GB2312" w:eastAsia="仿宋_GB2312" w:cs="仿宋_GB2312"/>
          <w:color w:val="000000"/>
          <w:sz w:val="32"/>
          <w:szCs w:val="32"/>
          <w:lang w:eastAsia="zh-CN"/>
        </w:rPr>
        <w:t>《挥发性有机物无组织排放控制标准》（GB37822-2019）。</w:t>
      </w:r>
      <w:r>
        <w:rPr>
          <w:rFonts w:hint="eastAsia" w:ascii="仿宋_GB2312" w:hAnsi="仿宋_GB2312" w:eastAsia="仿宋_GB2312" w:cs="仿宋_GB2312"/>
          <w:color w:val="000000"/>
          <w:sz w:val="32"/>
          <w:szCs w:val="32"/>
          <w:lang w:val="en-US" w:eastAsia="zh-CN"/>
        </w:rPr>
        <w:t>厂界废气执行《家具制造行业挥发性有机物排放标准》（DB43/1355-2017）及《大气污染物综合排放标准》（GB16297-1996）标准限值。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4、噪声污染防治。应使用隔音消声效果较好的建筑和装饰材料。选用低噪声设备并采取减振、降噪、消声等措施，运营期应达到《工业企业厂界环境噪声标准》</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GB12348-2008</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中相应标准。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固体废物处置。按照分类收集和综合利用的原则，妥善处理处置各类固体废物，防止造成二次污染。危险废物必须严格按照《危险废物贮存污染控制标准》（GB18597-2023）的要求进行收集、暂存，及时交有资质单位进行处置。一般固体废物按照《一般工业固体废物贮存和填埋污染控制标准》（GB18599-2020）要求管理。生活垃圾交由当地环卫部门统一收集处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环境风险防范。严格落实环评报告提出的各项环境安全风险防范措施。加强环境风险管理，制定环境风险应急预案及防范措施，建立严格的操作制度，并通过岗前培训等方式不断提高职工素质和处理突发事件的能力。设专职环保管理人员做好污防设施的维护管理，确保设备长期稳定运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7、维护社会稳定。加强对项目附近环境敏感点的环境保护，处理好与周边的关系，防止周边群众因环保诉求而引发矛盾，自觉维护社会稳定。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8、总量控制指标。根据环评报告和专家意见，确定本项目污染物总量控制指标为：</w:t>
      </w:r>
      <w:r>
        <w:rPr>
          <w:rFonts w:hint="eastAsia" w:ascii="仿宋_GB2312" w:hAnsi="仿宋_GB2312" w:eastAsia="仿宋_GB2312" w:cs="仿宋_GB2312"/>
          <w:color w:val="000000"/>
          <w:sz w:val="32"/>
          <w:szCs w:val="32"/>
          <w:lang w:val="en-US" w:eastAsia="zh-CN"/>
        </w:rPr>
        <w:t>挥发性有机物</w:t>
      </w:r>
      <w:r>
        <w:rPr>
          <w:rFonts w:hint="eastAsia" w:ascii="仿宋_GB2312" w:hAnsi="仿宋_GB2312" w:eastAsia="仿宋_GB2312" w:cs="仿宋_GB2312"/>
          <w:color w:val="000000"/>
          <w:sz w:val="32"/>
          <w:szCs w:val="32"/>
        </w:rPr>
        <w:t>≤6.8365t/a</w:t>
      </w:r>
      <w:r>
        <w:rPr>
          <w:rFonts w:hint="eastAsia" w:ascii="仿宋_GB2312" w:hAnsi="仿宋_GB2312" w:eastAsia="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落实环境监测计划，做好施工期环境管理工作。按环评报告书提出的环境管理与监测计划实施项目日常环境管理与监测。项目建设必须严格执行环境保护“三同时”制度，项目建成后应按规定程序实施竣工环境保护验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项目环境影响评价报告书经批复后，项目的性质、规模、地点、采用的生产工艺或者防治污染、防止生态破坏的措施发生重大变动的，建设单位应当依法重新报批建设项目的环境影响评价文件。自项目环境影响评价报告书批复之日起，超过五年方决定开工建设的，环境影响评价文件应当重新</w:t>
      </w:r>
      <w:r>
        <w:rPr>
          <w:rFonts w:hint="eastAsia" w:ascii="仿宋_GB2312" w:hAnsi="仿宋_GB2312" w:eastAsia="仿宋_GB2312" w:cs="仿宋_GB2312"/>
          <w:color w:val="000000"/>
          <w:sz w:val="32"/>
          <w:szCs w:val="32"/>
          <w:lang w:eastAsia="zh-CN"/>
        </w:rPr>
        <w:t>报我局</w:t>
      </w:r>
      <w:r>
        <w:rPr>
          <w:rFonts w:hint="eastAsia" w:ascii="仿宋_GB2312" w:hAnsi="仿宋_GB2312" w:eastAsia="仿宋_GB2312" w:cs="仿宋_GB2312"/>
          <w:color w:val="000000"/>
          <w:sz w:val="32"/>
          <w:szCs w:val="32"/>
        </w:rPr>
        <w:t>审核。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项目在环保申报过程中不得隐情不报，如有瞒报、谎报属违法行为，建设单位将承担由此产生的一切后果。本批复、环评报告书及有关附件是该项目环评审批的法律文件，各项内容必须严格执行，建设单位如有违反，将依法追究法律责任。</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000000"/>
          <w:sz w:val="32"/>
          <w:szCs w:val="32"/>
        </w:rPr>
        <w:t>六、建设单位应在收到本批复后10个工作日内，将批复及批准的环境影响报告书送</w:t>
      </w:r>
      <w:r>
        <w:rPr>
          <w:rFonts w:hint="eastAsia" w:ascii="仿宋_GB2312" w:hAnsi="仿宋_GB2312" w:eastAsia="仿宋_GB2312" w:cs="仿宋_GB2312"/>
          <w:color w:val="000000"/>
          <w:sz w:val="32"/>
          <w:szCs w:val="32"/>
          <w:lang w:val="en-US" w:eastAsia="zh-CN"/>
        </w:rPr>
        <w:t>新田县人民政府、</w:t>
      </w:r>
      <w:r>
        <w:rPr>
          <w:rFonts w:hint="eastAsia" w:ascii="仿宋_GB2312" w:hAnsi="仿宋_GB2312" w:eastAsia="仿宋_GB2312" w:cs="仿宋_GB2312"/>
          <w:color w:val="000000"/>
          <w:sz w:val="32"/>
          <w:szCs w:val="32"/>
          <w:lang w:val="zh-CN"/>
        </w:rPr>
        <w:t>永州市生态环境保护综合行政执法支队</w:t>
      </w:r>
      <w:r>
        <w:rPr>
          <w:rFonts w:hint="eastAsia" w:ascii="仿宋_GB2312" w:hAnsi="仿宋_GB2312" w:eastAsia="仿宋_GB2312" w:cs="仿宋_GB2312"/>
          <w:color w:val="000000"/>
          <w:sz w:val="32"/>
          <w:szCs w:val="32"/>
          <w:lang w:val="en-US" w:eastAsia="zh-CN"/>
        </w:rPr>
        <w:t>和</w:t>
      </w:r>
      <w:r>
        <w:rPr>
          <w:rFonts w:hint="eastAsia" w:ascii="仿宋_GB2312" w:hAnsi="仿宋_GB2312" w:eastAsia="仿宋_GB2312" w:cs="仿宋_GB2312"/>
          <w:color w:val="000000"/>
          <w:sz w:val="32"/>
          <w:szCs w:val="32"/>
        </w:rPr>
        <w:t>永州市生态环境局新田分局。新田县人民政府履行生态环境保护属地管理责任，加强环境防护距离内用地的规划控制。建设项目环保“三同时”执行情况的监督检查和日常环境管理工作由永州市生态环境局新田分局具体负责。</w:t>
      </w:r>
      <w:r>
        <w:rPr>
          <w:rFonts w:hint="eastAsia" w:ascii="仿宋_GB2312" w:hAnsi="仿宋_GB2312" w:eastAsia="仿宋_GB2312" w:cs="仿宋_GB2312"/>
          <w:color w:val="000000"/>
          <w:sz w:val="32"/>
          <w:szCs w:val="32"/>
          <w:lang w:val="en-US" w:eastAsia="zh-CN"/>
        </w:rPr>
        <w:t>新田</w:t>
      </w:r>
      <w:r>
        <w:rPr>
          <w:rFonts w:hint="eastAsia" w:ascii="仿宋_GB2312" w:hAnsi="仿宋_GB2312" w:eastAsia="仿宋_GB2312" w:cs="仿宋_GB2312"/>
          <w:color w:val="000000"/>
          <w:sz w:val="32"/>
          <w:szCs w:val="32"/>
        </w:rPr>
        <w:t>分局应明确具体监管人员，压实工作责任，定期开展巡查，重大问题及时向市生态环境局和市生态环境保护综合行政执法支队报告。</w:t>
      </w:r>
    </w:p>
    <w:p>
      <w:pPr>
        <w:pStyle w:val="4"/>
        <w:rPr>
          <w:rFonts w:hint="eastAsia" w:ascii="仿宋_GB2312" w:hAnsi="仿宋_GB2312" w:eastAsia="仿宋_GB2312" w:cs="仿宋_GB2312"/>
        </w:rPr>
      </w:pPr>
    </w:p>
    <w:p>
      <w:pPr>
        <w:pStyle w:val="4"/>
        <w:rPr>
          <w:rFonts w:hint="eastAsia" w:ascii="仿宋_GB2312" w:hAnsi="仿宋_GB2312" w:eastAsia="仿宋_GB2312" w:cs="仿宋_GB2312"/>
          <w:sz w:val="32"/>
          <w:szCs w:val="32"/>
        </w:rPr>
      </w:pPr>
    </w:p>
    <w:p>
      <w:pPr>
        <w:adjustRightInd w:val="0"/>
        <w:snapToGrid w:val="0"/>
        <w:spacing w:line="600" w:lineRule="exact"/>
        <w:ind w:firstLine="3577" w:firstLineChars="1118"/>
        <w:jc w:val="center"/>
        <w:outlineLvl w:val="0"/>
        <w:rPr>
          <w:rFonts w:hint="eastAsia"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lang w:val="zh-CN"/>
        </w:rPr>
        <w:t>永州市生态环境局</w:t>
      </w:r>
    </w:p>
    <w:p>
      <w:pPr>
        <w:adjustRightInd w:val="0"/>
        <w:snapToGrid w:val="0"/>
        <w:spacing w:line="600" w:lineRule="exact"/>
        <w:ind w:firstLine="3577" w:firstLineChars="1118"/>
        <w:jc w:val="center"/>
        <w:outlineLvl w:val="0"/>
        <w:rPr>
          <w:rFonts w:hint="eastAsia"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lang w:val="zh-CN"/>
        </w:rPr>
        <w:t>202</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lang w:val="zh-CN"/>
        </w:rPr>
        <w:t>年</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lang w:val="zh-CN"/>
        </w:rPr>
        <w:t>月</w:t>
      </w:r>
      <w:r>
        <w:rPr>
          <w:rFonts w:hint="eastAsia" w:ascii="仿宋_GB2312" w:hAnsi="仿宋_GB2312" w:eastAsia="仿宋_GB2312" w:cs="仿宋_GB2312"/>
          <w:color w:val="000000"/>
          <w:sz w:val="32"/>
          <w:szCs w:val="32"/>
          <w:lang w:val="en-US" w:eastAsia="zh-CN"/>
        </w:rPr>
        <w:t>19</w:t>
      </w:r>
      <w:bookmarkStart w:id="0" w:name="_GoBack"/>
      <w:bookmarkEnd w:id="0"/>
      <w:r>
        <w:rPr>
          <w:rFonts w:hint="eastAsia" w:ascii="仿宋_GB2312" w:hAnsi="仿宋_GB2312" w:eastAsia="仿宋_GB2312" w:cs="仿宋_GB2312"/>
          <w:color w:val="000000"/>
          <w:sz w:val="32"/>
          <w:szCs w:val="32"/>
          <w:lang w:val="zh-CN"/>
        </w:rPr>
        <w:t>日</w:t>
      </w:r>
    </w:p>
    <w:p>
      <w:pPr>
        <w:pStyle w:val="4"/>
        <w:ind w:firstLine="420"/>
        <w:rPr>
          <w:rFonts w:hint="eastAsia" w:ascii="仿宋_GB2312" w:hAnsi="仿宋_GB2312" w:eastAsia="仿宋_GB2312" w:cs="仿宋_GB2312"/>
          <w:sz w:val="32"/>
          <w:szCs w:val="32"/>
          <w:lang w:val="zh-CN"/>
        </w:rPr>
      </w:pPr>
    </w:p>
    <w:p>
      <w:pPr>
        <w:adjustRightInd w:val="0"/>
        <w:snapToGrid w:val="0"/>
        <w:spacing w:line="600" w:lineRule="exact"/>
        <w:ind w:firstLine="320" w:firstLineChars="100"/>
        <w:rPr>
          <w:rFonts w:hint="eastAsia" w:ascii="仿宋_GB2312" w:hAnsi="仿宋_GB2312" w:eastAsia="仿宋_GB2312" w:cs="仿宋_GB2312"/>
          <w:color w:val="000000"/>
          <w:sz w:val="32"/>
          <w:szCs w:val="32"/>
          <w:lang w:val="zh-CN"/>
        </w:rPr>
      </w:pPr>
    </w:p>
    <w:p>
      <w:pPr>
        <w:ind w:firstLine="320" w:firstLineChars="100"/>
        <w:rPr>
          <w:rFonts w:hint="eastAsia" w:ascii="仿宋_GB2312" w:hAnsi="仿宋_GB2312" w:eastAsia="仿宋_GB2312" w:cs="仿宋_GB2312"/>
        </w:rPr>
      </w:pPr>
      <w:r>
        <w:rPr>
          <w:rFonts w:hint="eastAsia" w:ascii="仿宋_GB2312" w:hAnsi="仿宋_GB2312" w:eastAsia="仿宋_GB2312" w:cs="仿宋_GB2312"/>
          <w:color w:val="000000"/>
          <w:sz w:val="32"/>
          <w:szCs w:val="32"/>
          <w:lang w:val="zh-CN"/>
        </w:rPr>
        <w:t>抄送：</w:t>
      </w:r>
      <w:r>
        <w:rPr>
          <w:rFonts w:hint="eastAsia" w:ascii="仿宋_GB2312" w:hAnsi="仿宋_GB2312" w:eastAsia="仿宋_GB2312" w:cs="仿宋_GB2312"/>
          <w:color w:val="000000"/>
          <w:sz w:val="32"/>
          <w:szCs w:val="32"/>
          <w:lang w:val="en-US" w:eastAsia="zh-CN"/>
        </w:rPr>
        <w:t>新田县人民政府，</w:t>
      </w:r>
      <w:r>
        <w:rPr>
          <w:rFonts w:hint="eastAsia" w:ascii="仿宋_GB2312" w:hAnsi="仿宋_GB2312" w:eastAsia="仿宋_GB2312" w:cs="仿宋_GB2312"/>
          <w:color w:val="000000"/>
          <w:sz w:val="32"/>
          <w:szCs w:val="32"/>
          <w:lang w:val="zh-CN"/>
        </w:rPr>
        <w:t>永州市生态环境保护综合行政执法支队，永州市生态环境局</w:t>
      </w:r>
      <w:r>
        <w:rPr>
          <w:rFonts w:hint="eastAsia" w:ascii="仿宋_GB2312" w:hAnsi="仿宋_GB2312" w:eastAsia="仿宋_GB2312" w:cs="仿宋_GB2312"/>
          <w:color w:val="000000"/>
          <w:sz w:val="32"/>
          <w:szCs w:val="32"/>
          <w:lang w:val="en-US" w:eastAsia="zh-CN"/>
        </w:rPr>
        <w:t>新田</w:t>
      </w:r>
      <w:r>
        <w:rPr>
          <w:rFonts w:hint="eastAsia" w:ascii="仿宋_GB2312" w:hAnsi="仿宋_GB2312" w:eastAsia="仿宋_GB2312" w:cs="仿宋_GB2312"/>
          <w:bCs/>
          <w:color w:val="000000"/>
          <w:sz w:val="32"/>
          <w:szCs w:val="32"/>
        </w:rPr>
        <w:t>分局</w:t>
      </w:r>
      <w:r>
        <w:rPr>
          <w:rFonts w:hint="eastAsia" w:ascii="仿宋_GB2312" w:hAnsi="仿宋_GB2312" w:eastAsia="仿宋_GB2312" w:cs="仿宋_GB2312"/>
          <w:color w:val="000000"/>
          <w:sz w:val="32"/>
          <w:szCs w:val="32"/>
          <w:lang w:val="zh-CN"/>
        </w:rPr>
        <w:t>，</w:t>
      </w:r>
      <w:r>
        <w:rPr>
          <w:rFonts w:hint="eastAsia" w:ascii="仿宋_GB2312" w:hAnsi="仿宋_GB2312" w:eastAsia="仿宋_GB2312" w:cs="仿宋_GB2312"/>
          <w:sz w:val="32"/>
          <w:szCs w:val="32"/>
        </w:rPr>
        <w:t>友谊国际工程咨询股份有限公司</w:t>
      </w:r>
      <w:r>
        <w:rPr>
          <w:rFonts w:hint="eastAsia" w:ascii="仿宋_GB2312" w:hAnsi="仿宋_GB2312" w:eastAsia="仿宋_GB2312" w:cs="仿宋_GB2312"/>
          <w:color w:val="000000"/>
          <w:sz w:val="32"/>
          <w:szCs w:val="32"/>
          <w:lang w:val="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Arial Unicode MS">
    <w:altName w:val="Nimbus Roman No9 L"/>
    <w:panose1 w:val="020B0604020202020204"/>
    <w:charset w:val="00"/>
    <w:family w:val="roman"/>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C769CF"/>
    <w:rsid w:val="0189715C"/>
    <w:rsid w:val="03345AEF"/>
    <w:rsid w:val="06800A9A"/>
    <w:rsid w:val="08E44CE0"/>
    <w:rsid w:val="0A6C62EF"/>
    <w:rsid w:val="0AC43C83"/>
    <w:rsid w:val="10EC7A09"/>
    <w:rsid w:val="13C34D65"/>
    <w:rsid w:val="14C3135A"/>
    <w:rsid w:val="16C769CF"/>
    <w:rsid w:val="1DFD14A7"/>
    <w:rsid w:val="2053116F"/>
    <w:rsid w:val="210067D1"/>
    <w:rsid w:val="2566B387"/>
    <w:rsid w:val="2D5B7F98"/>
    <w:rsid w:val="34BE7600"/>
    <w:rsid w:val="367B6C2C"/>
    <w:rsid w:val="37AB0F41"/>
    <w:rsid w:val="46207286"/>
    <w:rsid w:val="48F47487"/>
    <w:rsid w:val="6612596C"/>
    <w:rsid w:val="7F240A6C"/>
    <w:rsid w:val="9FB504E6"/>
    <w:rsid w:val="BFFF2E92"/>
    <w:rsid w:val="ED76D3B1"/>
    <w:rsid w:val="F05585A4"/>
    <w:rsid w:val="F7EFAB08"/>
    <w:rsid w:val="FFFE37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 w:type="paragraph" w:styleId="3">
    <w:name w:val="annotation text"/>
    <w:basedOn w:val="1"/>
    <w:semiHidden/>
    <w:qFormat/>
    <w:uiPriority w:val="0"/>
    <w:pPr>
      <w:jc w:val="left"/>
    </w:pPr>
    <w:rPr>
      <w:kern w:val="0"/>
      <w:sz w:val="24"/>
      <w:szCs w:val="20"/>
    </w:rPr>
  </w:style>
  <w:style w:type="paragraph" w:styleId="4">
    <w:name w:val="Body Text"/>
    <w:basedOn w:val="1"/>
    <w:next w:val="5"/>
    <w:qFormat/>
    <w:uiPriority w:val="99"/>
    <w:pPr>
      <w:widowControl/>
      <w:snapToGrid w:val="0"/>
      <w:spacing w:line="360" w:lineRule="auto"/>
      <w:ind w:firstLine="1440" w:firstLineChars="200"/>
    </w:pPr>
    <w:rPr>
      <w:kern w:val="0"/>
    </w:rPr>
  </w:style>
  <w:style w:type="paragraph" w:customStyle="1" w:styleId="5">
    <w:name w:val="xl27"/>
    <w:basedOn w:val="2"/>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kern w:val="0"/>
      <w:sz w:val="24"/>
    </w:rPr>
  </w:style>
  <w:style w:type="paragraph" w:customStyle="1" w:styleId="8">
    <w:name w:val="永环书正文"/>
    <w:basedOn w:val="1"/>
    <w:qFormat/>
    <w:uiPriority w:val="0"/>
    <w:pPr>
      <w:spacing w:before="62" w:beforeLines="20" w:after="62" w:afterLines="20" w:line="360" w:lineRule="auto"/>
      <w:ind w:firstLine="200" w:firstLineChars="200"/>
    </w:pPr>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554</Words>
  <Characters>595</Characters>
  <Lines>0</Lines>
  <Paragraphs>0</Paragraphs>
  <TotalTime>3</TotalTime>
  <ScaleCrop>false</ScaleCrop>
  <LinksUpToDate>false</LinksUpToDate>
  <CharactersWithSpaces>599</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2025-04-02T23:45:00Z</dcterms:created>
  <dc:creator>Administrator</dc:creator>
  <cp:lastModifiedBy>kylin</cp:lastModifiedBy>
  <cp:lastPrinted>2026-01-14T03:43:00Z</cp:lastPrinted>
  <dcterms:modified xsi:type="dcterms:W3CDTF">2026-01-19T08:53:21Z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654A4C6AB7134575821331CA59554242_11</vt:lpwstr>
  </property>
  <property fmtid="{D5CDD505-2E9C-101B-9397-08002B2CF9AE}" pid="4" name="KSOTemplateDocerSaveRecord">
    <vt:lpwstr>eyJoZGlkIjoiNzZhNmYzMjk3YzQzYzI1NDg1ODljN2RkMzhjYzcxYWEifQ==</vt:lpwstr>
  </property>
</Properties>
</file>