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33C662F">
      <w:pPr>
        <w:pStyle w:val="4"/>
        <w:keepNext w:val="0"/>
        <w:keepLines w:val="0"/>
        <w:pageBreakBefore w:val="0"/>
        <w:widowControl w:val="0"/>
        <w:kinsoku/>
        <w:wordWrap/>
        <w:overflowPunct/>
        <w:topLinePunct w:val="0"/>
        <w:autoSpaceDE/>
        <w:autoSpaceDN/>
        <w:bidi w:val="0"/>
        <w:snapToGrid w:val="0"/>
        <w:spacing w:line="620" w:lineRule="exact"/>
        <w:ind w:firstLine="420"/>
        <w:jc w:val="center"/>
        <w:textAlignment w:val="auto"/>
        <w:rPr>
          <w:rFonts w:hint="eastAsia" w:ascii="仿宋_GB2312" w:hAnsi="仿宋_GB2312" w:eastAsia="仿宋_GB2312" w:cs="仿宋_GB2312"/>
          <w:color w:val="FF0000"/>
          <w:sz w:val="32"/>
          <w:szCs w:val="32"/>
          <w:highlight w:val="none"/>
          <w:lang w:val="zh-CN"/>
        </w:rPr>
      </w:pPr>
    </w:p>
    <w:p w14:paraId="329D5AF6">
      <w:pPr>
        <w:keepNext w:val="0"/>
        <w:keepLines w:val="0"/>
        <w:pageBreakBefore w:val="0"/>
        <w:widowControl w:val="0"/>
        <w:kinsoku/>
        <w:wordWrap/>
        <w:overflowPunct/>
        <w:topLinePunct w:val="0"/>
        <w:autoSpaceDE/>
        <w:autoSpaceDN/>
        <w:bidi w:val="0"/>
        <w:adjustRightInd w:val="0"/>
        <w:snapToGrid w:val="0"/>
        <w:spacing w:line="620" w:lineRule="exact"/>
        <w:jc w:val="center"/>
        <w:textAlignment w:val="auto"/>
        <w:rPr>
          <w:rFonts w:hint="eastAsia" w:ascii="仿宋_GB2312" w:hAnsi="仿宋_GB2312" w:eastAsia="仿宋_GB2312" w:cs="仿宋_GB2312"/>
          <w:color w:val="FF0000"/>
          <w:sz w:val="32"/>
          <w:szCs w:val="32"/>
          <w:highlight w:val="none"/>
          <w:lang w:val="zh-CN"/>
        </w:rPr>
      </w:pPr>
    </w:p>
    <w:p w14:paraId="0CCD3D5E">
      <w:pPr>
        <w:keepNext w:val="0"/>
        <w:keepLines w:val="0"/>
        <w:pageBreakBefore w:val="0"/>
        <w:widowControl w:val="0"/>
        <w:kinsoku/>
        <w:wordWrap/>
        <w:overflowPunct/>
        <w:topLinePunct w:val="0"/>
        <w:autoSpaceDE/>
        <w:autoSpaceDN/>
        <w:bidi w:val="0"/>
        <w:adjustRightInd w:val="0"/>
        <w:snapToGrid w:val="0"/>
        <w:spacing w:line="620" w:lineRule="exact"/>
        <w:jc w:val="center"/>
        <w:textAlignment w:val="auto"/>
        <w:rPr>
          <w:rFonts w:hint="eastAsia" w:ascii="仿宋_GB2312" w:hAnsi="仿宋_GB2312" w:eastAsia="仿宋_GB2312" w:cs="仿宋_GB2312"/>
          <w:color w:val="FF0000"/>
          <w:sz w:val="32"/>
          <w:szCs w:val="32"/>
          <w:highlight w:val="none"/>
          <w:lang w:val="zh-CN"/>
        </w:rPr>
      </w:pPr>
    </w:p>
    <w:p w14:paraId="0F8908C8">
      <w:pPr>
        <w:keepNext w:val="0"/>
        <w:keepLines w:val="0"/>
        <w:pageBreakBefore w:val="0"/>
        <w:widowControl w:val="0"/>
        <w:kinsoku/>
        <w:wordWrap/>
        <w:overflowPunct/>
        <w:topLinePunct w:val="0"/>
        <w:autoSpaceDE/>
        <w:autoSpaceDN/>
        <w:bidi w:val="0"/>
        <w:adjustRightInd w:val="0"/>
        <w:snapToGrid w:val="0"/>
        <w:spacing w:line="620" w:lineRule="exact"/>
        <w:jc w:val="center"/>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永环评〔20</w:t>
      </w:r>
      <w:r>
        <w:rPr>
          <w:rFonts w:hint="eastAsia" w:ascii="仿宋_GB2312" w:hAnsi="仿宋_GB2312" w:eastAsia="仿宋_GB2312" w:cs="仿宋_GB2312"/>
          <w:color w:val="000000" w:themeColor="text1"/>
          <w:sz w:val="32"/>
          <w:szCs w:val="32"/>
          <w:highlight w:val="none"/>
          <w14:textFill>
            <w14:solidFill>
              <w14:schemeClr w14:val="tx1"/>
            </w14:solidFill>
          </w14:textFill>
        </w:rPr>
        <w:t>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32</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号</w:t>
      </w:r>
    </w:p>
    <w:p w14:paraId="066481CB">
      <w:pPr>
        <w:pStyle w:val="4"/>
        <w:keepNext w:val="0"/>
        <w:keepLines w:val="0"/>
        <w:pageBreakBefore w:val="0"/>
        <w:widowControl w:val="0"/>
        <w:kinsoku/>
        <w:wordWrap/>
        <w:overflowPunct/>
        <w:topLinePunct w:val="0"/>
        <w:autoSpaceDE/>
        <w:autoSpaceDN/>
        <w:bidi w:val="0"/>
        <w:snapToGrid w:val="0"/>
        <w:spacing w:line="620" w:lineRule="exact"/>
        <w:jc w:val="center"/>
        <w:textAlignment w:val="auto"/>
        <w:rPr>
          <w:rFonts w:hint="eastAsia"/>
          <w:sz w:val="32"/>
          <w:szCs w:val="32"/>
          <w:highlight w:val="none"/>
        </w:rPr>
      </w:pPr>
    </w:p>
    <w:p w14:paraId="7DF35230">
      <w:pPr>
        <w:spacing w:line="600" w:lineRule="exact"/>
        <w:jc w:val="cente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highlight w:val="none"/>
          <w:lang w:val="zh-CN"/>
          <w14:textFill>
            <w14:solidFill>
              <w14:schemeClr w14:val="tx1"/>
            </w14:solidFill>
          </w14:textFill>
        </w:rPr>
        <w:t>关于永州祁阳大联纺织有限公司年产3亿米环保再生纤维布及箱包、服装布料生产线</w:t>
      </w:r>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t>项目</w:t>
      </w:r>
    </w:p>
    <w:p w14:paraId="5C95B533">
      <w:pPr>
        <w:spacing w:line="600" w:lineRule="exact"/>
        <w:jc w:val="center"/>
        <w:rPr>
          <w:rFonts w:eastAsia="方正小标宋简体"/>
          <w:color w:val="000000"/>
          <w:sz w:val="44"/>
          <w:szCs w:val="44"/>
          <w:lang w:val="zh-CN"/>
        </w:rPr>
      </w:pPr>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t>变动</w:t>
      </w:r>
      <w:r>
        <w:rPr>
          <w:rFonts w:hint="eastAsia" w:ascii="方正小标宋简体" w:hAnsi="方正小标宋简体" w:eastAsia="方正小标宋简体" w:cs="方正小标宋简体"/>
          <w:b w:val="0"/>
          <w:bCs w:val="0"/>
          <w:color w:val="000000" w:themeColor="text1"/>
          <w:sz w:val="44"/>
          <w:szCs w:val="44"/>
          <w:highlight w:val="none"/>
          <w:lang w:val="zh-CN"/>
          <w14:textFill>
            <w14:solidFill>
              <w14:schemeClr w14:val="tx1"/>
            </w14:solidFill>
          </w14:textFill>
        </w:rPr>
        <w:t>环境影响</w:t>
      </w:r>
      <w:r>
        <w:rPr>
          <w:rFonts w:eastAsia="方正小标宋简体"/>
          <w:color w:val="000000"/>
          <w:sz w:val="44"/>
          <w:szCs w:val="44"/>
          <w:lang w:val="zh-CN"/>
        </w:rPr>
        <w:t>报告书的批复</w:t>
      </w:r>
    </w:p>
    <w:p w14:paraId="5D1DD0DC">
      <w:pPr>
        <w:keepNext w:val="0"/>
        <w:keepLines w:val="0"/>
        <w:pageBreakBefore w:val="0"/>
        <w:widowControl w:val="0"/>
        <w:kinsoku/>
        <w:wordWrap/>
        <w:overflowPunct/>
        <w:topLinePunct w:val="0"/>
        <w:autoSpaceDE/>
        <w:autoSpaceDN/>
        <w:bidi w:val="0"/>
        <w:spacing w:line="600" w:lineRule="exact"/>
        <w:jc w:val="both"/>
        <w:textAlignment w:val="auto"/>
        <w:rPr>
          <w:rFonts w:hint="eastAsia" w:ascii="方正小标宋简体" w:hAnsi="方正小标宋简体" w:eastAsia="方正小标宋简体" w:cs="方正小标宋简体"/>
          <w:b w:val="0"/>
          <w:bCs w:val="0"/>
          <w:color w:val="000000" w:themeColor="text1"/>
          <w:sz w:val="32"/>
          <w:szCs w:val="32"/>
          <w:highlight w:val="none"/>
          <w:lang w:val="zh-CN"/>
          <w14:textFill>
            <w14:solidFill>
              <w14:schemeClr w14:val="tx1"/>
            </w14:solidFill>
          </w14:textFill>
        </w:rPr>
      </w:pPr>
    </w:p>
    <w:p w14:paraId="7445768F">
      <w:pPr>
        <w:keepNext w:val="0"/>
        <w:keepLines w:val="0"/>
        <w:pageBreakBefore w:val="0"/>
        <w:widowControl w:val="0"/>
        <w:kinsoku/>
        <w:wordWrap/>
        <w:overflowPunct/>
        <w:topLinePunct w:val="0"/>
        <w:autoSpaceDE/>
        <w:autoSpaceDN/>
        <w:bidi w:val="0"/>
        <w:spacing w:line="600" w:lineRule="exact"/>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永州祁阳大联纺织有限公司：</w:t>
      </w:r>
    </w:p>
    <w:p w14:paraId="2EE9330F">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你公司关于申请批复</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14:textFill>
            <w14:solidFill>
              <w14:schemeClr w14:val="tx1"/>
            </w14:solidFill>
          </w14:textFill>
        </w:rPr>
        <w:t>请示和《永州祁阳大联纺织有限公司年产3亿米环保再生纤维布及箱包、服装布料生产线项目变动环境影响评价》（报批稿）及相关附件收悉，经研究，现批复如下：</w:t>
      </w:r>
    </w:p>
    <w:p w14:paraId="1C3A87B6">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一、永州祁阳大联纺织有限公司年产3亿米环保再生纤维布及箱包、服装布料生产线项目</w:t>
      </w:r>
      <w:r>
        <w:rPr>
          <w:rFonts w:hint="eastAsia" w:ascii="仿宋_GB2312" w:hAnsi="仿宋_GB2312" w:eastAsia="仿宋_GB2312" w:cs="仿宋_GB2312"/>
          <w:color w:val="000000" w:themeColor="text1"/>
          <w:sz w:val="32"/>
          <w:szCs w:val="32"/>
          <w:highlight w:val="none"/>
          <w14:textFill>
            <w14:solidFill>
              <w14:schemeClr w14:val="tx1"/>
            </w14:solidFill>
          </w14:textFill>
        </w:rPr>
        <w:t>位于湖南祁阳经济开发区白水片区宏丰路2号</w:t>
      </w:r>
      <w:r>
        <w:rPr>
          <w:rFonts w:hint="eastAsia" w:ascii="仿宋_GB2312" w:hAnsi="仿宋_GB2312" w:eastAsia="仿宋_GB2312" w:cs="仿宋_GB2312"/>
          <w:color w:val="000000" w:themeColor="text1"/>
          <w:sz w:val="32"/>
          <w:szCs w:val="32"/>
          <w:highlight w:val="none"/>
          <w:vertAlign w:val="baseline"/>
          <w:lang w:eastAsia="zh-CN"/>
          <w14:textFill>
            <w14:solidFill>
              <w14:schemeClr w14:val="tx1"/>
            </w14:solidFill>
          </w14:textFill>
        </w:rPr>
        <w:t>。项目环境影响报告书</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于2018年12月29日经我局以“</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永环评〔20</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18</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126</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号</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文件予以批复。由于市场对产品的色牢度、白度、手感等质量要求有所提高，原有的水洗次数和回用方式生产的产品难以彻底去除纤维杂质、染料残留及浆料，导致产品存在色差、手感粗糙等问题，影响了市场竞争力。为提高公司产品的质量，你公司拟对原环评申报工程建设内容进行部分调整变更，变更主要内容是：煮漂用水、水洗用水和印花用水环节用水量增加和水循环方式变化，变动后废水回用率由85%变动为69.63%。项目部分废气处理措施变化，涂层工艺原辅材料和处理措施变化，新增污染物DMF。项目其他生产工艺、污染物防治措施等均不发生变动。</w:t>
      </w:r>
    </w:p>
    <w:p w14:paraId="5CDDCF40">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根据</w:t>
      </w:r>
      <w:r>
        <w:rPr>
          <w:rFonts w:hint="eastAsia" w:ascii="仿宋_GB2312" w:hAnsi="仿宋_GB2312" w:eastAsia="仿宋_GB2312" w:cs="仿宋_GB2312"/>
          <w:color w:val="auto"/>
          <w:sz w:val="32"/>
          <w:szCs w:val="32"/>
          <w:lang w:val="zh-CN"/>
        </w:rPr>
        <w:t>友谊国际工程咨询股份有限公司</w:t>
      </w:r>
      <w:r>
        <w:rPr>
          <w:rFonts w:hint="eastAsia" w:ascii="仿宋_GB2312" w:hAnsi="仿宋_GB2312" w:eastAsia="仿宋_GB2312" w:cs="仿宋_GB2312"/>
          <w:color w:val="auto"/>
          <w:sz w:val="32"/>
          <w:szCs w:val="32"/>
        </w:rPr>
        <w:t>编制</w:t>
      </w:r>
      <w:r>
        <w:rPr>
          <w:rFonts w:hint="eastAsia" w:ascii="仿宋_GB2312" w:hAnsi="仿宋_GB2312" w:eastAsia="仿宋_GB2312" w:cs="仿宋_GB2312"/>
          <w:color w:val="000000"/>
          <w:sz w:val="32"/>
          <w:szCs w:val="32"/>
        </w:rPr>
        <w:t>的项目环境影响报告书的分析结论、专家评审意见、相关单位意见和永州市生态环境局</w:t>
      </w:r>
      <w:r>
        <w:rPr>
          <w:rFonts w:hint="eastAsia" w:ascii="仿宋_GB2312" w:hAnsi="仿宋_GB2312" w:eastAsia="仿宋_GB2312" w:cs="仿宋_GB2312"/>
          <w:color w:val="000000"/>
          <w:sz w:val="32"/>
          <w:szCs w:val="32"/>
          <w:lang w:eastAsia="zh-CN"/>
        </w:rPr>
        <w:t>祁阳</w:t>
      </w:r>
      <w:r>
        <w:rPr>
          <w:rFonts w:hint="eastAsia" w:ascii="仿宋_GB2312" w:hAnsi="仿宋_GB2312" w:eastAsia="仿宋_GB2312" w:cs="仿宋_GB2312"/>
          <w:color w:val="000000"/>
          <w:sz w:val="32"/>
          <w:szCs w:val="32"/>
        </w:rPr>
        <w:t>分局预审意见，在建设单位严格落实环评报告书和本批复提出的各项环保要求和环境影响减缓措施、环境风险防范措施、确保污染物达标排放的前提下，依据《中华人民共和国环境影响评价法》第二十二条等规定，从环保角度分析，我局原则同意该项目按环评报告书所列工程的地点、性质、规模、工艺、环境保护措施进行</w:t>
      </w:r>
      <w:r>
        <w:rPr>
          <w:rFonts w:hint="eastAsia" w:ascii="仿宋_GB2312" w:hAnsi="仿宋_GB2312" w:eastAsia="仿宋_GB2312" w:cs="仿宋_GB2312"/>
          <w:color w:val="000000"/>
          <w:sz w:val="32"/>
          <w:szCs w:val="32"/>
          <w:lang w:eastAsia="zh-CN"/>
        </w:rPr>
        <w:t>变动</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auto"/>
          <w:sz w:val="32"/>
          <w:szCs w:val="32"/>
        </w:rPr>
        <w:t>环境影响报告</w:t>
      </w:r>
      <w:r>
        <w:rPr>
          <w:rFonts w:hint="eastAsia" w:ascii="仿宋_GB2312" w:hAnsi="仿宋_GB2312" w:eastAsia="仿宋_GB2312" w:cs="仿宋_GB2312"/>
          <w:color w:val="auto"/>
          <w:sz w:val="32"/>
          <w:szCs w:val="32"/>
          <w:lang w:eastAsia="zh-CN"/>
        </w:rPr>
        <w:t>书</w:t>
      </w:r>
      <w:r>
        <w:rPr>
          <w:rFonts w:hint="eastAsia" w:ascii="仿宋_GB2312" w:hAnsi="仿宋_GB2312" w:eastAsia="仿宋_GB2312" w:cs="仿宋_GB2312"/>
          <w:color w:val="auto"/>
          <w:sz w:val="32"/>
          <w:szCs w:val="32"/>
        </w:rPr>
        <w:t>经批准后，项目的性质、规模、地点或者防治污染、防止生态破坏的措施发生重大变动的，应当重新报批该项目的环境影响报告</w:t>
      </w:r>
      <w:r>
        <w:rPr>
          <w:rFonts w:hint="eastAsia" w:ascii="仿宋_GB2312" w:hAnsi="仿宋_GB2312" w:eastAsia="仿宋_GB2312" w:cs="仿宋_GB2312"/>
          <w:color w:val="auto"/>
          <w:sz w:val="32"/>
          <w:szCs w:val="32"/>
          <w:lang w:eastAsia="zh-CN"/>
        </w:rPr>
        <w:t>书</w:t>
      </w:r>
      <w:r>
        <w:rPr>
          <w:rFonts w:hint="eastAsia" w:ascii="仿宋_GB2312" w:hAnsi="仿宋_GB2312" w:eastAsia="仿宋_GB2312" w:cs="仿宋_GB2312"/>
          <w:color w:val="auto"/>
          <w:sz w:val="32"/>
          <w:szCs w:val="32"/>
        </w:rPr>
        <w:t>。自环境影响报告</w:t>
      </w:r>
      <w:r>
        <w:rPr>
          <w:rFonts w:hint="eastAsia" w:ascii="仿宋_GB2312" w:hAnsi="仿宋_GB2312" w:eastAsia="仿宋_GB2312" w:cs="仿宋_GB2312"/>
          <w:color w:val="auto"/>
          <w:sz w:val="32"/>
          <w:szCs w:val="32"/>
          <w:lang w:eastAsia="zh-CN"/>
        </w:rPr>
        <w:t>书</w:t>
      </w:r>
      <w:r>
        <w:rPr>
          <w:rFonts w:hint="eastAsia" w:ascii="仿宋_GB2312" w:hAnsi="仿宋_GB2312" w:eastAsia="仿宋_GB2312" w:cs="仿宋_GB2312"/>
          <w:color w:val="auto"/>
          <w:sz w:val="32"/>
          <w:szCs w:val="32"/>
        </w:rPr>
        <w:t>批复文件批准之日起,如超过5年方决定工程开工建设的，</w:t>
      </w:r>
      <w:r>
        <w:rPr>
          <w:rFonts w:hint="eastAsia" w:ascii="仿宋_GB2312" w:hAnsi="仿宋_GB2312" w:eastAsia="仿宋_GB2312" w:cs="仿宋_GB2312"/>
          <w:color w:val="000000"/>
          <w:sz w:val="32"/>
          <w:szCs w:val="32"/>
        </w:rPr>
        <w:t>应当</w:t>
      </w:r>
      <w:r>
        <w:rPr>
          <w:rFonts w:hint="eastAsia" w:ascii="仿宋_GB2312" w:hAnsi="仿宋_GB2312" w:eastAsia="仿宋_GB2312" w:cs="仿宋_GB2312"/>
          <w:color w:val="000000"/>
          <w:sz w:val="32"/>
          <w:szCs w:val="32"/>
          <w:lang w:eastAsia="zh-CN"/>
        </w:rPr>
        <w:t>报我局</w:t>
      </w:r>
      <w:r>
        <w:rPr>
          <w:rFonts w:hint="eastAsia" w:ascii="仿宋_GB2312" w:hAnsi="仿宋_GB2312" w:eastAsia="仿宋_GB2312" w:cs="仿宋_GB2312"/>
          <w:color w:val="000000"/>
          <w:sz w:val="32"/>
          <w:szCs w:val="32"/>
        </w:rPr>
        <w:t>重新审核。</w:t>
      </w:r>
    </w:p>
    <w:p w14:paraId="62264209">
      <w:pPr>
        <w:keepNext w:val="0"/>
        <w:keepLines w:val="0"/>
        <w:pageBreakBefore w:val="0"/>
        <w:widowControl w:val="0"/>
        <w:numPr>
          <w:numId w:val="0"/>
        </w:numPr>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二、</w:t>
      </w:r>
      <w:r>
        <w:rPr>
          <w:rFonts w:hint="eastAsia" w:ascii="仿宋_GB2312" w:hAnsi="仿宋_GB2312" w:eastAsia="仿宋_GB2312" w:cs="仿宋_GB2312"/>
          <w:color w:val="000000"/>
          <w:sz w:val="32"/>
          <w:szCs w:val="32"/>
        </w:rPr>
        <w:t>建设单位在项目设计、建设和运行期间，必须全面落实环评报告书提出的各项污染防治措施，严格执行环保“三同时”制度，并着重做好以下工作：</w:t>
      </w:r>
    </w:p>
    <w:p w14:paraId="71FD215C">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sz w:val="32"/>
          <w:szCs w:val="32"/>
          <w:lang w:val="zh-CN"/>
        </w:rPr>
        <w:t>相关政策要求。</w:t>
      </w:r>
      <w:r>
        <w:rPr>
          <w:rFonts w:hint="eastAsia" w:ascii="仿宋_GB2312" w:hAnsi="仿宋_GB2312" w:eastAsia="仿宋_GB2312" w:cs="仿宋_GB2312"/>
          <w:color w:val="000000"/>
          <w:sz w:val="32"/>
          <w:szCs w:val="32"/>
        </w:rPr>
        <w:t>项目应按照清洁生产要求，采用国内外先进的生产设备和工艺，提高</w:t>
      </w:r>
      <w:r>
        <w:rPr>
          <w:rFonts w:hint="eastAsia" w:ascii="仿宋_GB2312" w:hAnsi="仿宋_GB2312" w:eastAsia="仿宋_GB2312" w:cs="仿宋_GB2312"/>
          <w:color w:val="000000"/>
          <w:sz w:val="32"/>
          <w:szCs w:val="32"/>
          <w:lang w:val="en-US" w:eastAsia="zh-CN"/>
        </w:rPr>
        <w:t>水重复</w:t>
      </w:r>
      <w:r>
        <w:rPr>
          <w:rFonts w:hint="eastAsia" w:ascii="仿宋_GB2312" w:hAnsi="仿宋_GB2312" w:eastAsia="仿宋_GB2312" w:cs="仿宋_GB2312"/>
          <w:color w:val="000000"/>
          <w:sz w:val="32"/>
          <w:szCs w:val="32"/>
        </w:rPr>
        <w:t>利用率，降低能耗、物耗和水耗，从源头上控制污染物产生，选用工艺成熟、可靠的污染治理技术和设施，确保各项污染物稳定达标排放</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清洁生产达到</w:t>
      </w:r>
      <w:r>
        <w:rPr>
          <w:rFonts w:hint="eastAsia" w:ascii="仿宋_GB2312" w:hAnsi="仿宋_GB2312" w:eastAsia="仿宋_GB2312" w:cs="仿宋_GB2312"/>
          <w:color w:val="000000"/>
          <w:sz w:val="32"/>
          <w:szCs w:val="32"/>
          <w:lang w:val="en-US" w:eastAsia="zh-CN"/>
        </w:rPr>
        <w:t>标准要求</w:t>
      </w:r>
      <w:r>
        <w:rPr>
          <w:rFonts w:hint="eastAsia" w:ascii="仿宋_GB2312" w:hAnsi="仿宋_GB2312" w:eastAsia="仿宋_GB2312" w:cs="仿宋_GB2312"/>
          <w:color w:val="000000"/>
          <w:sz w:val="32"/>
          <w:szCs w:val="32"/>
        </w:rPr>
        <w:t>。落实好各项安全措施，避免因安全问题引发次生环境问题。按照《环境保护图形标志》（GB15562.1/2-1995）、《危险废物识别标志设置技术规范》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HJ1276-2022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等规定，设置环境保护图形标志牌。建设单位需在发生实际排污行为前申领排污许可证，按证排污。</w:t>
      </w:r>
      <w:r>
        <w:rPr>
          <w:rFonts w:hint="eastAsia" w:ascii="仿宋_GB2312" w:hAnsi="仿宋_GB2312" w:eastAsia="仿宋_GB2312" w:cs="仿宋_GB2312"/>
          <w:color w:val="000000"/>
          <w:sz w:val="32"/>
          <w:szCs w:val="32"/>
          <w:lang w:eastAsia="zh-CN"/>
        </w:rPr>
        <w:t>你公司应根据项目投运后的环境影响实际情况，适时开展该项目环境影响后评价工作，针对存在的环境问题进一步强化</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环保措施，以消除对环境的不良影响。</w:t>
      </w:r>
    </w:p>
    <w:p w14:paraId="15C167AB">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2、落实大气污染防控措施。本次变更定型废气经“水喷淋—油水分离—电捕焦油器装置”处理，通过15m高排气筒达标排放；涂层废气经“集气罩收集+DMF&amp;甲苯有机溶剂气体回收装置”进</w:t>
      </w:r>
      <w:r>
        <w:rPr>
          <w:rFonts w:hint="eastAsia" w:ascii="仿宋_GB2312" w:hAnsi="仿宋_GB2312" w:eastAsia="仿宋_GB2312" w:cs="仿宋_GB2312"/>
          <w:b w:val="0"/>
          <w:bCs w:val="0"/>
          <w:color w:val="auto"/>
          <w:sz w:val="32"/>
          <w:szCs w:val="32"/>
          <w:highlight w:val="none"/>
          <w:lang w:val="en-US" w:eastAsia="zh-CN"/>
        </w:rPr>
        <w:t>行处置，通过15m高排气筒达标排放；印花（含蒸化）废气性经“水喷淋+湿式静电”处理，通过15m高排气筒达标排放；锅炉废气</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经“SCR脱氮+布袋除尘工艺+双碱法脱硫系统”处理，通过45m高排气筒达标排放。项目应加强各生产环节的过程控制与环境管理，尽量减少无组织废气排放。</w:t>
      </w:r>
      <w:r>
        <w:rPr>
          <w:rFonts w:hint="eastAsia" w:ascii="仿宋_GB2312" w:hAnsi="仿宋_GB2312" w:eastAsia="仿宋_GB2312" w:cs="仿宋_GB2312"/>
          <w:sz w:val="32"/>
          <w:szCs w:val="32"/>
          <w:lang w:eastAsia="zh-CN"/>
        </w:rPr>
        <w:t>工艺废气有组织排放执行《合成革与人造革工业污染物排放标准》（GB21902-2008）中表5</w:t>
      </w:r>
      <w:r>
        <w:rPr>
          <w:rFonts w:hint="eastAsia" w:ascii="仿宋_GB2312" w:hAnsi="仿宋_GB2312" w:eastAsia="仿宋_GB2312" w:cs="仿宋_GB2312"/>
          <w:sz w:val="32"/>
          <w:szCs w:val="32"/>
          <w:lang w:val="en-US" w:eastAsia="zh-CN"/>
        </w:rPr>
        <w:t>新建企业大气污染物排放浓度限值</w:t>
      </w:r>
      <w:r>
        <w:rPr>
          <w:rFonts w:hint="eastAsia" w:ascii="仿宋_GB2312" w:hAnsi="仿宋_GB2312" w:eastAsia="仿宋_GB2312" w:cs="仿宋_GB2312"/>
          <w:sz w:val="32"/>
          <w:szCs w:val="32"/>
          <w:lang w:eastAsia="zh-CN"/>
        </w:rPr>
        <w:t>、《大气污染物综合排放标准》（GB16297-1996）中二级标准、</w:t>
      </w:r>
      <w:r>
        <w:rPr>
          <w:rFonts w:hint="eastAsia" w:ascii="仿宋_GB2312" w:hAnsi="仿宋_GB2312" w:eastAsia="仿宋_GB2312" w:cs="仿宋_GB2312"/>
          <w:sz w:val="32"/>
          <w:szCs w:val="32"/>
          <w:lang w:val="en-US" w:eastAsia="zh-CN"/>
        </w:rPr>
        <w:t>《工业企业挥发性有机物排放控制标准》（DB12/524-2020）</w:t>
      </w:r>
      <w:r>
        <w:rPr>
          <w:rFonts w:hint="eastAsia" w:ascii="仿宋_GB2312" w:hAnsi="仿宋_GB2312" w:eastAsia="仿宋_GB2312" w:cs="仿宋_GB2312"/>
          <w:sz w:val="32"/>
          <w:szCs w:val="32"/>
          <w:lang w:eastAsia="zh-CN"/>
        </w:rPr>
        <w:t>标准限值中较严值，锅炉废气执行《锅炉大气污染物排放标准》（GB13271-2014）中表2新建锅炉大气污染物排放浓度限值；无组织废气排放执行《恶臭污染物排放标准》（GB14554-93）中表1二级新扩改建恶臭污染物厂界标准值、《大气污染物综合排放标准》（GB16297-1996）中二级标准、《挥发性有机物无组织排放控制标准》</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"https://www.mee.gov.cn/ywgz/fgbz/bz/bzwb/dqhjbh/dqgdwrywrwpfbz/201906/W020190606587693632696.pdf"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eastAsia="zh-CN"/>
        </w:rPr>
        <w:t>（GB37822—2019）</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中相应标准限值。</w:t>
      </w:r>
    </w:p>
    <w:p w14:paraId="40027808">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default"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3、落实</w:t>
      </w:r>
      <w:r>
        <w:rPr>
          <w:rFonts w:hint="eastAsia" w:ascii="仿宋_GB2312" w:hAnsi="仿宋_GB2312" w:eastAsia="仿宋_GB2312" w:cs="仿宋_GB2312"/>
          <w:color w:val="000000" w:themeColor="text1"/>
          <w:sz w:val="32"/>
          <w:szCs w:val="32"/>
          <w:highlight w:val="none"/>
          <w14:textFill>
            <w14:solidFill>
              <w14:schemeClr w14:val="tx1"/>
            </w14:solidFill>
          </w14:textFill>
        </w:rPr>
        <w:t>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污染防治措施</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本次变更增加煮漂用水、水洗用水和印花用水环节用水量和水循环方式变化，污水处理站规模不变，织造区废水经“格栅+调节+混凝气浮+接触氧化+二沉池”处理达标后，85%回用至织造区，剩余15%外排至园区污水处理厂；染整区废水经“格栅+调节+物化沉淀+水解酸化+二级接触氧化+生化沉淀池+混凝气浮+石英砂过滤+回用池”处理达标后外排至园区污水处理厂。项目生产废水回用水水质执行《纺织染整工业回用水水质标准》（FZ/T01107-2011）中表1回用水水质指标及限值；外排废水执行《纺织染整工业水污染物排放标准》及其修改单（GB4287-2012）中表2中新建企业水污染物间接排放浓度限值及园区污水处理厂进水水质要求。祁阳市政府规划建设的祁阳高新区白水片区污水处理厂新增5万吨/日扩容工程一期工程未建成正式投运之前，本项目污水排放量不得超过原环评批复量。</w:t>
      </w:r>
    </w:p>
    <w:p w14:paraId="2DFA45FC">
      <w:pPr>
        <w:pStyle w:val="18"/>
        <w:keepNext w:val="0"/>
        <w:keepLines w:val="0"/>
        <w:pageBreakBefore w:val="0"/>
        <w:widowControl w:val="0"/>
        <w:kinsoku/>
        <w:wordWrap/>
        <w:overflowPunct/>
        <w:topLinePunct w:val="0"/>
        <w:autoSpaceDE/>
        <w:autoSpaceDN/>
        <w:bidi w:val="0"/>
        <w:spacing w:before="0" w:beforeLines="0" w:after="0" w:afterLines="0" w:line="60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地下水和土壤污染防治。按照“源头控制、分区防治、污染监控”原则做好地下水和土壤污染防治工作。严格分区建设、分区防控要求，加强重点区域防渗建设。切实做好防渗工作，防止对地下水造成污染。按规范设置地下水、土壤监测点位，定期跟踪监测，发现异常立即采取措施，确保不对周边环境产生污染。</w:t>
      </w:r>
    </w:p>
    <w:p w14:paraId="2A8A5DE5">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落实</w:t>
      </w:r>
      <w:r>
        <w:rPr>
          <w:rFonts w:hint="eastAsia" w:ascii="仿宋_GB2312" w:hAnsi="仿宋_GB2312" w:eastAsia="仿宋_GB2312" w:cs="仿宋_GB2312"/>
          <w:color w:val="000000" w:themeColor="text1"/>
          <w:sz w:val="32"/>
          <w:szCs w:val="32"/>
          <w:highlight w:val="none"/>
          <w14:textFill>
            <w14:solidFill>
              <w14:schemeClr w14:val="tx1"/>
            </w14:solidFill>
          </w14:textFill>
        </w:rPr>
        <w:t>噪声污染防治</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措施</w:t>
      </w:r>
      <w:r>
        <w:rPr>
          <w:rFonts w:hint="eastAsia" w:ascii="仿宋_GB2312" w:hAnsi="仿宋_GB2312" w:eastAsia="仿宋_GB2312" w:cs="仿宋_GB2312"/>
          <w:color w:val="000000" w:themeColor="text1"/>
          <w:sz w:val="32"/>
          <w:szCs w:val="32"/>
          <w:highlight w:val="none"/>
          <w14:textFill>
            <w14:solidFill>
              <w14:schemeClr w14:val="tx1"/>
            </w14:solidFill>
          </w14:textFill>
        </w:rPr>
        <w:t>。优化设备选型，合理布置高噪声设备并采取隔声、消声、减振等降噪措施，加强设备维护处于良好的运转状态，确保厂界噪声满足《工业企业厂界环境噪声排放标准》（GB12348-2008）</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中3类标准</w:t>
      </w:r>
      <w:r>
        <w:rPr>
          <w:rFonts w:hint="eastAsia" w:ascii="仿宋_GB2312" w:hAnsi="仿宋_GB2312" w:eastAsia="仿宋_GB2312" w:cs="仿宋_GB2312"/>
          <w:color w:val="000000" w:themeColor="text1"/>
          <w:sz w:val="32"/>
          <w:szCs w:val="32"/>
          <w:highlight w:val="none"/>
          <w14:textFill>
            <w14:solidFill>
              <w14:schemeClr w14:val="tx1"/>
            </w14:solidFill>
          </w14:textFill>
        </w:rPr>
        <w:t>要求。</w:t>
      </w:r>
    </w:p>
    <w:p w14:paraId="7F2A3272">
      <w:pPr>
        <w:pStyle w:val="18"/>
        <w:keepNext w:val="0"/>
        <w:keepLines w:val="0"/>
        <w:pageBreakBefore w:val="0"/>
        <w:widowControl w:val="0"/>
        <w:kinsoku/>
        <w:wordWrap/>
        <w:overflowPunct/>
        <w:topLinePunct w:val="0"/>
        <w:autoSpaceDE/>
        <w:autoSpaceDN/>
        <w:bidi w:val="0"/>
        <w:spacing w:before="0" w:beforeLines="0" w:after="0" w:afterLines="0" w:line="600" w:lineRule="exact"/>
        <w:ind w:firstLine="640" w:firstLineChars="200"/>
        <w:jc w:val="both"/>
        <w:textAlignment w:val="auto"/>
        <w:rPr>
          <w:rFonts w:hint="eastAsia" w:ascii="仿宋_GB2312" w:hAnsi="仿宋_GB2312" w:eastAsia="仿宋_GB2312" w:cs="仿宋_GB2312"/>
          <w:color w:val="000000" w:themeColor="text1"/>
          <w:kern w:val="32"/>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落实</w:t>
      </w:r>
      <w:r>
        <w:rPr>
          <w:rFonts w:hint="eastAsia" w:ascii="仿宋_GB2312" w:hAnsi="仿宋_GB2312" w:eastAsia="仿宋_GB2312" w:cs="仿宋_GB2312"/>
          <w:color w:val="000000" w:themeColor="text1"/>
          <w:sz w:val="32"/>
          <w:szCs w:val="32"/>
          <w:highlight w:val="none"/>
          <w14:textFill>
            <w14:solidFill>
              <w14:schemeClr w14:val="tx1"/>
            </w14:solidFill>
          </w14:textFill>
        </w:rPr>
        <w:t>固体废物</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管理措施</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根据国家和地方有关规定，按照“减量化、资源化、无害化”原则，对固体废物进行</w:t>
      </w:r>
      <w:r>
        <w:rPr>
          <w:rFonts w:hint="eastAsia" w:ascii="仿宋_GB2312" w:hAnsi="仿宋_GB2312" w:eastAsia="仿宋_GB2312" w:cs="仿宋_GB2312"/>
          <w:color w:val="000000" w:themeColor="text1"/>
          <w:sz w:val="32"/>
          <w:szCs w:val="32"/>
          <w:highlight w:val="none"/>
          <w14:textFill>
            <w14:solidFill>
              <w14:schemeClr w14:val="tx1"/>
            </w14:solidFill>
          </w14:textFill>
        </w:rPr>
        <w:t>分类收集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处理和处置</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并确保不</w:t>
      </w:r>
      <w:r>
        <w:rPr>
          <w:rFonts w:hint="eastAsia" w:ascii="仿宋_GB2312" w:hAnsi="仿宋_GB2312" w:eastAsia="仿宋_GB2312" w:cs="仿宋_GB2312"/>
          <w:color w:val="000000" w:themeColor="text1"/>
          <w:sz w:val="32"/>
          <w:szCs w:val="32"/>
          <w:highlight w:val="none"/>
          <w14:textFill>
            <w14:solidFill>
              <w14:schemeClr w14:val="tx1"/>
            </w14:solidFill>
          </w14:textFill>
        </w:rPr>
        <w:t>造成二次污染。危险废物、一般工业固体废物在厂内暂存应分别符合</w:t>
      </w:r>
      <w:r>
        <w:rPr>
          <w:rFonts w:hint="eastAsia" w:ascii="仿宋_GB2312" w:hAnsi="仿宋_GB2312" w:eastAsia="仿宋_GB2312" w:cs="仿宋_GB2312"/>
          <w:color w:val="000000"/>
          <w:sz w:val="32"/>
          <w:szCs w:val="32"/>
        </w:rPr>
        <w:t>《危险废物贮存污染控制标准》（GB18579-2023）、《一般工业固体废物贮存和填埋污染控制标准》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GB18599-2020</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的要求；生活垃圾</w:t>
      </w:r>
      <w:r>
        <w:rPr>
          <w:rFonts w:hint="eastAsia" w:ascii="仿宋_GB2312" w:hAnsi="仿宋_GB2312" w:eastAsia="仿宋_GB2312" w:cs="仿宋_GB2312"/>
          <w:color w:val="000000" w:themeColor="text1"/>
          <w:kern w:val="32"/>
          <w:sz w:val="32"/>
          <w:szCs w:val="32"/>
          <w:highlight w:val="none"/>
          <w14:textFill>
            <w14:solidFill>
              <w14:schemeClr w14:val="tx1"/>
            </w14:solidFill>
          </w14:textFill>
        </w:rPr>
        <w:t>分类收集交由环卫部门统一清运处理。</w:t>
      </w:r>
    </w:p>
    <w:p w14:paraId="141E689F">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环境风险防范。加强环境风险管理及项目安全生产检查，制定环境风险应急预案及防范措施，提高事故风险防范和污染控制能力，对事故隐患做到及早发现，及时处理，确保区域环境安全。科学布设预警设施、事故应急设施（物料泄漏截流设施、风险事故池等），配套拦污、切换等处理设施，防止非正常工况和事故状态下环境风险排放。建立严格的操作制度，通过岗前培训、应急演练等方式，不断提高职工素质和处理突发事件的能力。</w:t>
      </w:r>
    </w:p>
    <w:p w14:paraId="5CF22794">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8、严格履行建设单位环保主体责任。建立健全环保规章制度和岗位责任制，配备专职环保管理人员；</w:t>
      </w:r>
      <w:r>
        <w:rPr>
          <w:rFonts w:hint="eastAsia" w:ascii="仿宋_GB2312" w:hAnsi="仿宋_GB2312" w:eastAsia="仿宋_GB2312" w:cs="仿宋_GB2312"/>
          <w:color w:val="000000"/>
          <w:sz w:val="32"/>
          <w:szCs w:val="32"/>
          <w:lang w:val="en-US" w:eastAsia="zh-CN"/>
        </w:rPr>
        <w:t>按规范落实自行监测和在线监测要求；</w:t>
      </w:r>
      <w:r>
        <w:rPr>
          <w:rFonts w:hint="eastAsia" w:ascii="仿宋_GB2312" w:hAnsi="仿宋_GB2312" w:eastAsia="仿宋_GB2312" w:cs="仿宋_GB2312"/>
          <w:color w:val="000000"/>
          <w:sz w:val="32"/>
          <w:szCs w:val="32"/>
        </w:rPr>
        <w:t>加强生产台账和环保台账的登记管理，做到有据可查；定期对污染防治设施进行检查和维修，关键设备及零部件应配备足够的备用件，确保环保设施稳定正常运行和污染物稳定达标排放。加强对项目附近环境敏感点的环境保护，处理好与周边的关系，防止因环保诉求而引发矛盾，自觉维护社会稳定。</w:t>
      </w:r>
    </w:p>
    <w:p w14:paraId="3512217C">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9</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总量控制指标。</w:t>
      </w:r>
      <w:r>
        <w:rPr>
          <w:rFonts w:hint="eastAsia" w:ascii="仿宋_GB2312" w:hAnsi="仿宋_GB2312" w:eastAsia="仿宋_GB2312" w:cs="仿宋_GB2312"/>
          <w:color w:val="auto"/>
          <w:sz w:val="32"/>
          <w:szCs w:val="32"/>
        </w:rPr>
        <w:t>根据环评报告和专家意见，确定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本次变更后全厂总量控制指标为：化学需氧量≤72.399t/a、氨氮≤5.43t/a、总磷≤0.9t/a、二氧化硫≤47.619t/a、氮氧化物≤15.41t/a、VOCs≤18.1325t/a。</w:t>
      </w:r>
    </w:p>
    <w:p w14:paraId="6F4B0707">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default"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10、</w:t>
      </w:r>
      <w:r>
        <w:rPr>
          <w:rFonts w:hint="eastAsia" w:ascii="仿宋_GB2312" w:hAnsi="仿宋_GB2312" w:eastAsia="仿宋_GB2312" w:cs="仿宋_GB2312"/>
          <w:color w:val="auto"/>
          <w:kern w:val="32"/>
          <w:sz w:val="32"/>
          <w:szCs w:val="32"/>
          <w:lang w:val="en-US" w:eastAsia="zh-CN"/>
        </w:rPr>
        <w:t>其他要求仍按</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永环评〔20</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18</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126</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号</w:t>
      </w:r>
      <w:r>
        <w:rPr>
          <w:rFonts w:hint="eastAsia" w:ascii="仿宋_GB2312" w:hAnsi="仿宋_GB2312" w:eastAsia="仿宋_GB2312" w:cs="仿宋_GB2312"/>
          <w:color w:val="auto"/>
          <w:kern w:val="32"/>
          <w:sz w:val="32"/>
          <w:szCs w:val="32"/>
          <w:lang w:val="en-US" w:eastAsia="zh-CN"/>
        </w:rPr>
        <w:t>文件执行。</w:t>
      </w:r>
    </w:p>
    <w:p w14:paraId="0BC6170D">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auto"/>
          <w:sz w:val="32"/>
          <w:szCs w:val="32"/>
        </w:rPr>
        <w:t>三、项目在环保申报过程中不得隐情不报</w:t>
      </w:r>
      <w:r>
        <w:rPr>
          <w:rFonts w:hint="eastAsia" w:ascii="仿宋_GB2312" w:hAnsi="仿宋_GB2312" w:eastAsia="仿宋_GB2312" w:cs="仿宋_GB2312"/>
          <w:color w:val="000000"/>
          <w:sz w:val="32"/>
          <w:szCs w:val="32"/>
        </w:rPr>
        <w:t>，如有瞒报、谎报属违法行为，建设单位将承担由此产生的一切后果。</w:t>
      </w:r>
      <w:r>
        <w:rPr>
          <w:rFonts w:hint="eastAsia" w:ascii="仿宋_GB2312" w:hAnsi="仿宋_GB2312" w:eastAsia="仿宋_GB2312" w:cs="仿宋_GB2312"/>
          <w:color w:val="000000"/>
          <w:kern w:val="32"/>
          <w:sz w:val="32"/>
          <w:szCs w:val="32"/>
        </w:rPr>
        <w:t>本批复、</w:t>
      </w:r>
      <w:r>
        <w:rPr>
          <w:rFonts w:hint="eastAsia" w:ascii="仿宋_GB2312" w:hAnsi="仿宋_GB2312" w:eastAsia="仿宋_GB2312" w:cs="仿宋_GB2312"/>
          <w:color w:val="000000"/>
          <w:sz w:val="32"/>
          <w:szCs w:val="32"/>
        </w:rPr>
        <w:t>环评报告书</w:t>
      </w:r>
      <w:r>
        <w:rPr>
          <w:rFonts w:hint="eastAsia" w:ascii="仿宋_GB2312" w:hAnsi="仿宋_GB2312" w:eastAsia="仿宋_GB2312" w:cs="仿宋_GB2312"/>
          <w:color w:val="000000"/>
          <w:kern w:val="32"/>
          <w:sz w:val="32"/>
          <w:szCs w:val="32"/>
        </w:rPr>
        <w:t>及有关附件是该项目环评审批的法律文件，</w:t>
      </w:r>
      <w:r>
        <w:rPr>
          <w:rFonts w:hint="eastAsia" w:ascii="仿宋_GB2312" w:hAnsi="仿宋_GB2312" w:eastAsia="仿宋_GB2312" w:cs="仿宋_GB2312"/>
          <w:color w:val="000000"/>
          <w:sz w:val="32"/>
          <w:szCs w:val="32"/>
        </w:rPr>
        <w:t>各项内容必须严格执行，建设单位如有违反，将依法追究法律责任。</w:t>
      </w:r>
    </w:p>
    <w:p w14:paraId="2323C3E6">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sz w:val="32"/>
          <w:szCs w:val="32"/>
          <w:highlight w:val="yellow"/>
        </w:rPr>
      </w:pPr>
      <w:r>
        <w:rPr>
          <w:rFonts w:hint="eastAsia" w:ascii="仿宋_GB2312" w:hAnsi="仿宋_GB2312" w:eastAsia="仿宋_GB2312" w:cs="仿宋_GB2312"/>
          <w:color w:val="000000"/>
          <w:sz w:val="32"/>
          <w:szCs w:val="32"/>
        </w:rPr>
        <w:t>四、落实环境监测计划，做好环境管理工作。项目建设须执行环境保护设施与主体工程同时设计、同时施工、同时投产使用的环保“三同时”制度；项目完工后应按规定程序</w:t>
      </w:r>
      <w:r>
        <w:rPr>
          <w:rFonts w:hint="eastAsia" w:ascii="仿宋_GB2312" w:hAnsi="仿宋_GB2312" w:eastAsia="仿宋_GB2312" w:cs="仿宋_GB2312"/>
          <w:bCs/>
          <w:color w:val="000000"/>
          <w:sz w:val="32"/>
          <w:szCs w:val="32"/>
        </w:rPr>
        <w:t>自主开展环境保护竣工验收，并依法公开。</w:t>
      </w:r>
    </w:p>
    <w:p w14:paraId="1F4DC327">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、你公司应在收到本批复后10个工作日内，将批复及批准的环境影响报告</w:t>
      </w:r>
      <w:r>
        <w:rPr>
          <w:rFonts w:hint="eastAsia" w:ascii="仿宋_GB2312" w:hAnsi="仿宋_GB2312" w:eastAsia="仿宋_GB2312" w:cs="仿宋_GB2312"/>
          <w:color w:val="auto"/>
          <w:sz w:val="32"/>
          <w:szCs w:val="32"/>
          <w:lang w:eastAsia="zh-CN"/>
        </w:rPr>
        <w:t>书</w:t>
      </w:r>
      <w:r>
        <w:rPr>
          <w:rFonts w:hint="eastAsia" w:ascii="仿宋_GB2312" w:hAnsi="仿宋_GB2312" w:eastAsia="仿宋_GB2312" w:cs="仿宋_GB2312"/>
          <w:color w:val="auto"/>
          <w:sz w:val="32"/>
          <w:szCs w:val="32"/>
        </w:rPr>
        <w:t>送</w:t>
      </w:r>
      <w:r>
        <w:rPr>
          <w:rFonts w:hint="eastAsia" w:ascii="仿宋_GB2312" w:hAnsi="仿宋_GB2312" w:eastAsia="仿宋_GB2312" w:cs="仿宋_GB2312"/>
          <w:color w:val="auto"/>
          <w:sz w:val="32"/>
          <w:szCs w:val="32"/>
          <w:lang w:eastAsia="zh-CN"/>
        </w:rPr>
        <w:t>祁阳市</w:t>
      </w:r>
      <w:r>
        <w:rPr>
          <w:rFonts w:hint="eastAsia" w:ascii="仿宋_GB2312" w:hAnsi="仿宋_GB2312" w:eastAsia="仿宋_GB2312" w:cs="仿宋_GB2312"/>
          <w:color w:val="auto"/>
          <w:sz w:val="32"/>
          <w:szCs w:val="32"/>
        </w:rPr>
        <w:t>人民政府、永州市生态环境局</w:t>
      </w:r>
      <w:r>
        <w:rPr>
          <w:rFonts w:hint="eastAsia" w:ascii="仿宋_GB2312" w:hAnsi="仿宋_GB2312" w:eastAsia="仿宋_GB2312" w:cs="仿宋_GB2312"/>
          <w:color w:val="auto"/>
          <w:sz w:val="32"/>
          <w:szCs w:val="32"/>
          <w:lang w:val="en-US" w:eastAsia="zh-CN"/>
        </w:rPr>
        <w:t>祁阳</w:t>
      </w:r>
      <w:r>
        <w:rPr>
          <w:rFonts w:hint="eastAsia" w:ascii="仿宋_GB2312" w:hAnsi="仿宋_GB2312" w:eastAsia="仿宋_GB2312" w:cs="仿宋_GB2312"/>
          <w:color w:val="auto"/>
          <w:sz w:val="32"/>
          <w:szCs w:val="32"/>
        </w:rPr>
        <w:t>分局。</w:t>
      </w:r>
      <w:r>
        <w:rPr>
          <w:rFonts w:hint="eastAsia" w:ascii="仿宋_GB2312" w:hAnsi="仿宋_GB2312" w:eastAsia="仿宋_GB2312" w:cs="仿宋_GB2312"/>
          <w:color w:val="auto"/>
          <w:sz w:val="32"/>
          <w:szCs w:val="32"/>
          <w:lang w:val="en-US" w:eastAsia="zh-CN"/>
        </w:rPr>
        <w:t>祁阳市</w:t>
      </w:r>
      <w:r>
        <w:rPr>
          <w:rFonts w:hint="eastAsia" w:ascii="仿宋_GB2312" w:hAnsi="仿宋_GB2312" w:eastAsia="仿宋_GB2312" w:cs="仿宋_GB2312"/>
          <w:color w:val="auto"/>
          <w:sz w:val="32"/>
          <w:szCs w:val="32"/>
        </w:rPr>
        <w:t>人民政府</w:t>
      </w:r>
      <w:r>
        <w:rPr>
          <w:rFonts w:hint="eastAsia" w:ascii="仿宋_GB2312" w:hAnsi="仿宋_GB2312" w:eastAsia="仿宋_GB2312" w:cs="仿宋_GB2312"/>
          <w:color w:val="auto"/>
          <w:sz w:val="32"/>
          <w:szCs w:val="32"/>
          <w:lang w:val="en-US" w:eastAsia="zh-CN"/>
        </w:rPr>
        <w:t>应按计划加快</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祁阳高新区白水片区污水处理厂扩容工程建设，</w:t>
      </w:r>
      <w:r>
        <w:rPr>
          <w:rFonts w:hint="eastAsia" w:ascii="仿宋_GB2312" w:hAnsi="仿宋_GB2312" w:eastAsia="仿宋_GB2312" w:cs="仿宋_GB2312"/>
          <w:color w:val="auto"/>
          <w:sz w:val="32"/>
          <w:szCs w:val="32"/>
        </w:rPr>
        <w:t>履行好生态环境保护属地管理职责，加强项目周边区域管控。项目建设环保“三同时”执行落实情况的监督检查和日常环境管理由永州市生态环境局</w:t>
      </w:r>
      <w:r>
        <w:rPr>
          <w:rFonts w:hint="eastAsia" w:ascii="仿宋_GB2312" w:hAnsi="仿宋_GB2312" w:eastAsia="仿宋_GB2312" w:cs="仿宋_GB2312"/>
          <w:color w:val="auto"/>
          <w:sz w:val="32"/>
          <w:szCs w:val="32"/>
          <w:lang w:val="en-US" w:eastAsia="zh-CN"/>
        </w:rPr>
        <w:t>祁阳</w:t>
      </w:r>
      <w:r>
        <w:rPr>
          <w:rFonts w:hint="eastAsia" w:ascii="仿宋_GB2312" w:hAnsi="仿宋_GB2312" w:eastAsia="仿宋_GB2312" w:cs="仿宋_GB2312"/>
          <w:color w:val="auto"/>
          <w:sz w:val="32"/>
          <w:szCs w:val="32"/>
        </w:rPr>
        <w:t>分局具体负责，</w:t>
      </w:r>
      <w:r>
        <w:rPr>
          <w:rFonts w:hint="eastAsia" w:ascii="仿宋_GB2312" w:hAnsi="仿宋_GB2312" w:eastAsia="仿宋_GB2312" w:cs="仿宋_GB2312"/>
          <w:color w:val="auto"/>
          <w:sz w:val="32"/>
          <w:szCs w:val="32"/>
          <w:lang w:val="en-US" w:eastAsia="zh-CN"/>
        </w:rPr>
        <w:t>祁阳</w:t>
      </w:r>
      <w:r>
        <w:rPr>
          <w:rFonts w:hint="eastAsia" w:ascii="仿宋_GB2312" w:hAnsi="仿宋_GB2312" w:eastAsia="仿宋_GB2312" w:cs="仿宋_GB2312"/>
          <w:color w:val="auto"/>
          <w:sz w:val="32"/>
          <w:szCs w:val="32"/>
        </w:rPr>
        <w:t>分局应明确具体监管人员，压实工作责任，定期开展巡查，重大问题及时向市生态环境局和市生态环境保护综合行政执法支队报告。</w:t>
      </w:r>
    </w:p>
    <w:p w14:paraId="6B29F3FB">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p>
    <w:p w14:paraId="4916BE9B">
      <w:pPr>
        <w:keepNext w:val="0"/>
        <w:keepLines w:val="0"/>
        <w:pageBreakBefore w:val="0"/>
        <w:widowControl w:val="0"/>
        <w:kinsoku/>
        <w:wordWrap/>
        <w:overflowPunct/>
        <w:topLinePunct w:val="0"/>
        <w:autoSpaceDE/>
        <w:autoSpaceDN/>
        <w:bidi w:val="0"/>
        <w:spacing w:line="600" w:lineRule="exact"/>
        <w:ind w:left="0" w:leftChars="0" w:firstLine="4419" w:firstLineChars="1381"/>
        <w:jc w:val="both"/>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bookmarkStart w:id="0" w:name="_GoBack"/>
      <w:bookmarkEnd w:id="0"/>
    </w:p>
    <w:p w14:paraId="220820D3">
      <w:pPr>
        <w:keepNext w:val="0"/>
        <w:keepLines w:val="0"/>
        <w:pageBreakBefore w:val="0"/>
        <w:widowControl w:val="0"/>
        <w:kinsoku/>
        <w:wordWrap/>
        <w:overflowPunct/>
        <w:topLinePunct w:val="0"/>
        <w:autoSpaceDE/>
        <w:autoSpaceDN/>
        <w:bidi w:val="0"/>
        <w:spacing w:line="600" w:lineRule="exact"/>
        <w:ind w:left="0" w:leftChars="0" w:firstLine="4419" w:firstLineChars="1381"/>
        <w:jc w:val="both"/>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p>
    <w:p w14:paraId="188D68B9">
      <w:pPr>
        <w:keepNext w:val="0"/>
        <w:keepLines w:val="0"/>
        <w:pageBreakBefore w:val="0"/>
        <w:widowControl w:val="0"/>
        <w:kinsoku/>
        <w:wordWrap/>
        <w:overflowPunct/>
        <w:topLinePunct w:val="0"/>
        <w:autoSpaceDE/>
        <w:autoSpaceDN/>
        <w:bidi w:val="0"/>
        <w:spacing w:line="600" w:lineRule="exact"/>
        <w:ind w:left="0" w:leftChars="0" w:firstLine="4419" w:firstLineChars="1381"/>
        <w:jc w:val="both"/>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p>
    <w:p w14:paraId="5982C772">
      <w:pPr>
        <w:keepNext w:val="0"/>
        <w:keepLines w:val="0"/>
        <w:pageBreakBefore w:val="0"/>
        <w:widowControl w:val="0"/>
        <w:kinsoku/>
        <w:wordWrap/>
        <w:overflowPunct/>
        <w:topLinePunct w:val="0"/>
        <w:autoSpaceDE/>
        <w:autoSpaceDN/>
        <w:bidi w:val="0"/>
        <w:spacing w:line="600" w:lineRule="exact"/>
        <w:ind w:left="0" w:leftChars="0" w:firstLine="4419" w:firstLineChars="1381"/>
        <w:jc w:val="center"/>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永州市生态环境局</w:t>
      </w:r>
    </w:p>
    <w:p w14:paraId="1AB30905">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4419" w:firstLineChars="1381"/>
        <w:jc w:val="center"/>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20</w:t>
      </w:r>
      <w:r>
        <w:rPr>
          <w:rFonts w:hint="eastAsia" w:ascii="仿宋_GB2312" w:hAnsi="仿宋_GB2312" w:eastAsia="仿宋_GB2312" w:cs="仿宋_GB2312"/>
          <w:color w:val="000000" w:themeColor="text1"/>
          <w:sz w:val="32"/>
          <w:szCs w:val="32"/>
          <w:highlight w:val="none"/>
          <w14:textFill>
            <w14:solidFill>
              <w14:schemeClr w14:val="tx1"/>
            </w14:solidFill>
          </w14:textFill>
        </w:rPr>
        <w:t>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9</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30</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日</w:t>
      </w:r>
    </w:p>
    <w:p w14:paraId="0572C8D5">
      <w:pPr>
        <w:keepNext w:val="0"/>
        <w:keepLines w:val="0"/>
        <w:pageBreakBefore w:val="0"/>
        <w:widowControl w:val="0"/>
        <w:kinsoku/>
        <w:wordWrap/>
        <w:overflowPunct/>
        <w:topLinePunct w:val="0"/>
        <w:autoSpaceDE/>
        <w:autoSpaceDN/>
        <w:bidi w:val="0"/>
        <w:adjustRightInd w:val="0"/>
        <w:snapToGrid w:val="0"/>
        <w:spacing w:line="600" w:lineRule="exact"/>
        <w:ind w:firstLine="320" w:firstLineChars="100"/>
        <w:jc w:val="both"/>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p>
    <w:p w14:paraId="6D0DC8D9">
      <w:pPr>
        <w:keepNext w:val="0"/>
        <w:keepLines w:val="0"/>
        <w:pageBreakBefore w:val="0"/>
        <w:widowControl w:val="0"/>
        <w:kinsoku/>
        <w:wordWrap/>
        <w:overflowPunct/>
        <w:topLinePunct w:val="0"/>
        <w:autoSpaceDE/>
        <w:autoSpaceDN/>
        <w:bidi w:val="0"/>
        <w:adjustRightInd w:val="0"/>
        <w:snapToGrid w:val="0"/>
        <w:spacing w:line="600" w:lineRule="exact"/>
        <w:ind w:firstLine="320" w:firstLineChars="100"/>
        <w:jc w:val="both"/>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p>
    <w:p w14:paraId="4BD7D570">
      <w:pPr>
        <w:keepNext w:val="0"/>
        <w:keepLines w:val="0"/>
        <w:pageBreakBefore w:val="0"/>
        <w:widowControl w:val="0"/>
        <w:kinsoku/>
        <w:wordWrap/>
        <w:overflowPunct/>
        <w:topLinePunct w:val="0"/>
        <w:autoSpaceDE/>
        <w:autoSpaceDN/>
        <w:bidi w:val="0"/>
        <w:adjustRightInd w:val="0"/>
        <w:snapToGrid w:val="0"/>
        <w:spacing w:line="600" w:lineRule="exact"/>
        <w:ind w:firstLine="320" w:firstLineChars="100"/>
        <w:jc w:val="both"/>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p>
    <w:p w14:paraId="1112F2E2">
      <w:pPr>
        <w:keepNext w:val="0"/>
        <w:keepLines w:val="0"/>
        <w:pageBreakBefore w:val="0"/>
        <w:widowControl w:val="0"/>
        <w:kinsoku/>
        <w:wordWrap/>
        <w:overflowPunct/>
        <w:topLinePunct w:val="0"/>
        <w:autoSpaceDE/>
        <w:autoSpaceDN/>
        <w:bidi w:val="0"/>
        <w:adjustRightInd w:val="0"/>
        <w:snapToGrid w:val="0"/>
        <w:spacing w:line="600" w:lineRule="exact"/>
        <w:ind w:firstLine="320" w:firstLineChars="100"/>
        <w:jc w:val="both"/>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p>
    <w:p w14:paraId="09B523C4">
      <w:pPr>
        <w:keepNext w:val="0"/>
        <w:keepLines w:val="0"/>
        <w:pageBreakBefore w:val="0"/>
        <w:widowControl w:val="0"/>
        <w:kinsoku/>
        <w:wordWrap/>
        <w:overflowPunct/>
        <w:topLinePunct w:val="0"/>
        <w:autoSpaceDE/>
        <w:autoSpaceDN/>
        <w:bidi w:val="0"/>
        <w:adjustRightInd w:val="0"/>
        <w:snapToGrid w:val="0"/>
        <w:spacing w:line="600" w:lineRule="exact"/>
        <w:ind w:firstLine="320" w:firstLineChars="100"/>
        <w:jc w:val="both"/>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p>
    <w:p w14:paraId="7CC0BC07">
      <w:pPr>
        <w:keepNext w:val="0"/>
        <w:keepLines w:val="0"/>
        <w:pageBreakBefore w:val="0"/>
        <w:widowControl w:val="0"/>
        <w:kinsoku/>
        <w:wordWrap/>
        <w:overflowPunct/>
        <w:topLinePunct w:val="0"/>
        <w:autoSpaceDE/>
        <w:autoSpaceDN/>
        <w:bidi w:val="0"/>
        <w:adjustRightInd w:val="0"/>
        <w:snapToGrid w:val="0"/>
        <w:spacing w:line="600" w:lineRule="exact"/>
        <w:ind w:firstLine="320" w:firstLineChars="100"/>
        <w:jc w:val="both"/>
        <w:textAlignment w:val="auto"/>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抄送：</w:t>
      </w:r>
      <w:r>
        <w:rPr>
          <w:rFonts w:hint="eastAsia" w:ascii="仿宋_GB2312" w:hAnsi="仿宋_GB2312" w:eastAsia="仿宋_GB2312" w:cs="仿宋_GB2312"/>
          <w:color w:val="auto"/>
          <w:sz w:val="32"/>
          <w:szCs w:val="32"/>
          <w:lang w:val="en-US" w:eastAsia="zh-CN"/>
        </w:rPr>
        <w:t>祁阳市</w:t>
      </w:r>
      <w:r>
        <w:rPr>
          <w:rFonts w:hint="eastAsia" w:ascii="仿宋_GB2312" w:hAnsi="仿宋_GB2312" w:eastAsia="仿宋_GB2312" w:cs="仿宋_GB2312"/>
          <w:color w:val="auto"/>
          <w:sz w:val="32"/>
          <w:szCs w:val="32"/>
        </w:rPr>
        <w:t>人民政府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永州市生态环境保护综合行政执法支队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zh-CN"/>
        </w:rPr>
        <w:t>永州市生态环境局</w:t>
      </w:r>
      <w:r>
        <w:rPr>
          <w:rFonts w:hint="eastAsia" w:ascii="仿宋_GB2312" w:hAnsi="仿宋_GB2312" w:eastAsia="仿宋_GB2312" w:cs="仿宋_GB2312"/>
          <w:bCs/>
          <w:color w:val="auto"/>
          <w:sz w:val="32"/>
          <w:szCs w:val="32"/>
          <w:lang w:val="en-US" w:eastAsia="zh-CN"/>
        </w:rPr>
        <w:t>祁阳</w:t>
      </w:r>
      <w:r>
        <w:rPr>
          <w:rFonts w:hint="eastAsia" w:ascii="仿宋_GB2312" w:hAnsi="仿宋_GB2312" w:eastAsia="仿宋_GB2312" w:cs="仿宋_GB2312"/>
          <w:bCs/>
          <w:color w:val="auto"/>
          <w:sz w:val="32"/>
          <w:szCs w:val="32"/>
        </w:rPr>
        <w:t>分局</w:t>
      </w:r>
      <w:r>
        <w:rPr>
          <w:rFonts w:hint="eastAsia" w:ascii="仿宋_GB2312" w:hAnsi="仿宋_GB2312" w:eastAsia="仿宋_GB2312" w:cs="仿宋_GB2312"/>
          <w:color w:val="auto"/>
          <w:sz w:val="32"/>
          <w:szCs w:val="32"/>
          <w:lang w:val="zh-CN"/>
        </w:rPr>
        <w:t xml:space="preserve">，友谊国际工程咨询股份有限公司。 </w:t>
      </w:r>
    </w:p>
    <w:sectPr>
      <w:headerReference r:id="rId3" w:type="default"/>
      <w:footerReference r:id="rId4" w:type="default"/>
      <w:footerReference r:id="rId5" w:type="even"/>
      <w:pgSz w:w="11906" w:h="16838"/>
      <w:pgMar w:top="1701" w:right="1644" w:bottom="1587"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Nimbus Roman No9 L">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2CD75">
    <w:pPr>
      <w:pStyle w:val="8"/>
      <w:framePr w:wrap="around" w:vAnchor="text" w:hAnchor="margin" w:xAlign="center" w:y="1"/>
      <w:rPr>
        <w:rStyle w:val="12"/>
      </w:rPr>
    </w:pPr>
    <w:r>
      <w:fldChar w:fldCharType="begin"/>
    </w:r>
    <w:r>
      <w:rPr>
        <w:rStyle w:val="12"/>
      </w:rPr>
      <w:instrText xml:space="preserve">PAGE  </w:instrText>
    </w:r>
    <w:r>
      <w:fldChar w:fldCharType="separate"/>
    </w:r>
    <w:r>
      <w:rPr>
        <w:rStyle w:val="12"/>
      </w:rPr>
      <w:t>4</w:t>
    </w:r>
    <w:r>
      <w:fldChar w:fldCharType="end"/>
    </w:r>
  </w:p>
  <w:p w14:paraId="4998E23D">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86954">
    <w:pPr>
      <w:pStyle w:val="8"/>
      <w:framePr w:wrap="around" w:vAnchor="text" w:hAnchor="margin" w:xAlign="center" w:y="1"/>
      <w:rPr>
        <w:rStyle w:val="12"/>
      </w:rPr>
    </w:pPr>
    <w:r>
      <w:fldChar w:fldCharType="begin"/>
    </w:r>
    <w:r>
      <w:rPr>
        <w:rStyle w:val="12"/>
      </w:rPr>
      <w:instrText xml:space="preserve">PAGE  </w:instrText>
    </w:r>
    <w:r>
      <w:fldChar w:fldCharType="separate"/>
    </w:r>
    <w:r>
      <w:rPr>
        <w:rStyle w:val="12"/>
      </w:rPr>
      <w:t>1</w:t>
    </w:r>
    <w:r>
      <w:fldChar w:fldCharType="end"/>
    </w:r>
  </w:p>
  <w:p w14:paraId="5E8ED345">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19179">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xMzQwMWE0MDBjNTc1Zjk1YjM3NTljNTEzZDg2ZTEifQ=="/>
  </w:docVars>
  <w:rsids>
    <w:rsidRoot w:val="00172A27"/>
    <w:rsid w:val="00002254"/>
    <w:rsid w:val="00014F1C"/>
    <w:rsid w:val="0001637D"/>
    <w:rsid w:val="00021FF1"/>
    <w:rsid w:val="00037457"/>
    <w:rsid w:val="000519D6"/>
    <w:rsid w:val="00051FC9"/>
    <w:rsid w:val="00052851"/>
    <w:rsid w:val="00064400"/>
    <w:rsid w:val="00065CD9"/>
    <w:rsid w:val="000711D8"/>
    <w:rsid w:val="00077B36"/>
    <w:rsid w:val="00081269"/>
    <w:rsid w:val="00081A57"/>
    <w:rsid w:val="00081C59"/>
    <w:rsid w:val="000825D6"/>
    <w:rsid w:val="000841C0"/>
    <w:rsid w:val="000A21E6"/>
    <w:rsid w:val="000A36E2"/>
    <w:rsid w:val="000B719C"/>
    <w:rsid w:val="000C27B6"/>
    <w:rsid w:val="000D556A"/>
    <w:rsid w:val="000D5A41"/>
    <w:rsid w:val="000E1173"/>
    <w:rsid w:val="000E46FD"/>
    <w:rsid w:val="001063A3"/>
    <w:rsid w:val="00117109"/>
    <w:rsid w:val="00126AB6"/>
    <w:rsid w:val="0013375F"/>
    <w:rsid w:val="001345E4"/>
    <w:rsid w:val="00135D0F"/>
    <w:rsid w:val="00137747"/>
    <w:rsid w:val="001532D7"/>
    <w:rsid w:val="00156C6D"/>
    <w:rsid w:val="00160BBA"/>
    <w:rsid w:val="00172763"/>
    <w:rsid w:val="00172AB7"/>
    <w:rsid w:val="00184A96"/>
    <w:rsid w:val="001937ED"/>
    <w:rsid w:val="001959EA"/>
    <w:rsid w:val="001A1400"/>
    <w:rsid w:val="001B19FD"/>
    <w:rsid w:val="001B6C0D"/>
    <w:rsid w:val="001D3998"/>
    <w:rsid w:val="001D43EF"/>
    <w:rsid w:val="001E4903"/>
    <w:rsid w:val="001F1806"/>
    <w:rsid w:val="0020668D"/>
    <w:rsid w:val="00212970"/>
    <w:rsid w:val="00213627"/>
    <w:rsid w:val="00220149"/>
    <w:rsid w:val="00220ACF"/>
    <w:rsid w:val="0022584B"/>
    <w:rsid w:val="0023066F"/>
    <w:rsid w:val="0023395A"/>
    <w:rsid w:val="002342F6"/>
    <w:rsid w:val="00236ABA"/>
    <w:rsid w:val="002402E8"/>
    <w:rsid w:val="00254E24"/>
    <w:rsid w:val="00257F74"/>
    <w:rsid w:val="00263A85"/>
    <w:rsid w:val="00267CE8"/>
    <w:rsid w:val="002767A8"/>
    <w:rsid w:val="002865EF"/>
    <w:rsid w:val="00287608"/>
    <w:rsid w:val="00290EFE"/>
    <w:rsid w:val="00295911"/>
    <w:rsid w:val="002A4C02"/>
    <w:rsid w:val="002A5533"/>
    <w:rsid w:val="002B777D"/>
    <w:rsid w:val="002D0E0A"/>
    <w:rsid w:val="002E4BAC"/>
    <w:rsid w:val="0030163D"/>
    <w:rsid w:val="00301906"/>
    <w:rsid w:val="00303364"/>
    <w:rsid w:val="00306024"/>
    <w:rsid w:val="00314644"/>
    <w:rsid w:val="00324E5C"/>
    <w:rsid w:val="0033077F"/>
    <w:rsid w:val="00334E6F"/>
    <w:rsid w:val="00340F05"/>
    <w:rsid w:val="00341FAC"/>
    <w:rsid w:val="00364D9F"/>
    <w:rsid w:val="00367170"/>
    <w:rsid w:val="00374BDC"/>
    <w:rsid w:val="00387C83"/>
    <w:rsid w:val="00393B74"/>
    <w:rsid w:val="003B308F"/>
    <w:rsid w:val="003B337F"/>
    <w:rsid w:val="003C588C"/>
    <w:rsid w:val="003D11B0"/>
    <w:rsid w:val="003D2D99"/>
    <w:rsid w:val="003D3D04"/>
    <w:rsid w:val="003D652E"/>
    <w:rsid w:val="003F12FD"/>
    <w:rsid w:val="003F32BD"/>
    <w:rsid w:val="003F3C23"/>
    <w:rsid w:val="00407F35"/>
    <w:rsid w:val="0041053A"/>
    <w:rsid w:val="00422DC0"/>
    <w:rsid w:val="00430FA5"/>
    <w:rsid w:val="00437EAB"/>
    <w:rsid w:val="004418BC"/>
    <w:rsid w:val="00447FDA"/>
    <w:rsid w:val="004551E8"/>
    <w:rsid w:val="00455441"/>
    <w:rsid w:val="00456868"/>
    <w:rsid w:val="00470E06"/>
    <w:rsid w:val="00472997"/>
    <w:rsid w:val="0047797A"/>
    <w:rsid w:val="00496C66"/>
    <w:rsid w:val="004A5E55"/>
    <w:rsid w:val="004B3FE8"/>
    <w:rsid w:val="004D08E2"/>
    <w:rsid w:val="004E00B8"/>
    <w:rsid w:val="004E3175"/>
    <w:rsid w:val="004E66B8"/>
    <w:rsid w:val="004F15DB"/>
    <w:rsid w:val="004F714E"/>
    <w:rsid w:val="00520CCC"/>
    <w:rsid w:val="0054393C"/>
    <w:rsid w:val="00546D3F"/>
    <w:rsid w:val="005477AA"/>
    <w:rsid w:val="0055202F"/>
    <w:rsid w:val="00552D0B"/>
    <w:rsid w:val="005558F0"/>
    <w:rsid w:val="0056107A"/>
    <w:rsid w:val="005642EC"/>
    <w:rsid w:val="00570D41"/>
    <w:rsid w:val="00574E10"/>
    <w:rsid w:val="00577B3C"/>
    <w:rsid w:val="005832F2"/>
    <w:rsid w:val="005907D6"/>
    <w:rsid w:val="00596B20"/>
    <w:rsid w:val="0059759B"/>
    <w:rsid w:val="005A30E3"/>
    <w:rsid w:val="005B6033"/>
    <w:rsid w:val="005B6B3C"/>
    <w:rsid w:val="005D50F8"/>
    <w:rsid w:val="005D5EBD"/>
    <w:rsid w:val="005E6225"/>
    <w:rsid w:val="005F0DA3"/>
    <w:rsid w:val="005F40D9"/>
    <w:rsid w:val="00601F4E"/>
    <w:rsid w:val="0060422C"/>
    <w:rsid w:val="006122FA"/>
    <w:rsid w:val="00617AA0"/>
    <w:rsid w:val="00622D55"/>
    <w:rsid w:val="00623E70"/>
    <w:rsid w:val="00634395"/>
    <w:rsid w:val="00636966"/>
    <w:rsid w:val="00650202"/>
    <w:rsid w:val="00650CB3"/>
    <w:rsid w:val="00651D69"/>
    <w:rsid w:val="00653092"/>
    <w:rsid w:val="00657A0A"/>
    <w:rsid w:val="00667A0C"/>
    <w:rsid w:val="006713AB"/>
    <w:rsid w:val="006729F0"/>
    <w:rsid w:val="00674057"/>
    <w:rsid w:val="00674C8C"/>
    <w:rsid w:val="00676888"/>
    <w:rsid w:val="00683B17"/>
    <w:rsid w:val="00692026"/>
    <w:rsid w:val="006B5664"/>
    <w:rsid w:val="006C68FA"/>
    <w:rsid w:val="006D63D9"/>
    <w:rsid w:val="006E6FDF"/>
    <w:rsid w:val="006F74A1"/>
    <w:rsid w:val="007005FB"/>
    <w:rsid w:val="007044E0"/>
    <w:rsid w:val="007056A8"/>
    <w:rsid w:val="00705C57"/>
    <w:rsid w:val="00712C37"/>
    <w:rsid w:val="007330B5"/>
    <w:rsid w:val="007439CF"/>
    <w:rsid w:val="0075259E"/>
    <w:rsid w:val="007713ED"/>
    <w:rsid w:val="00783F71"/>
    <w:rsid w:val="007A008F"/>
    <w:rsid w:val="007A0B7F"/>
    <w:rsid w:val="007A281A"/>
    <w:rsid w:val="007A5249"/>
    <w:rsid w:val="007B2E57"/>
    <w:rsid w:val="007B61FE"/>
    <w:rsid w:val="007C75AE"/>
    <w:rsid w:val="007D0414"/>
    <w:rsid w:val="007D5613"/>
    <w:rsid w:val="007D5B04"/>
    <w:rsid w:val="007E5C95"/>
    <w:rsid w:val="007F5244"/>
    <w:rsid w:val="00805214"/>
    <w:rsid w:val="008276CC"/>
    <w:rsid w:val="00840705"/>
    <w:rsid w:val="00850AA7"/>
    <w:rsid w:val="008561FD"/>
    <w:rsid w:val="00863D01"/>
    <w:rsid w:val="008905E3"/>
    <w:rsid w:val="00891D55"/>
    <w:rsid w:val="008922B3"/>
    <w:rsid w:val="008A4231"/>
    <w:rsid w:val="008A72BB"/>
    <w:rsid w:val="008B29CB"/>
    <w:rsid w:val="008B32D1"/>
    <w:rsid w:val="008E1A3D"/>
    <w:rsid w:val="008E3449"/>
    <w:rsid w:val="008F03C8"/>
    <w:rsid w:val="008F5D7B"/>
    <w:rsid w:val="00900F29"/>
    <w:rsid w:val="00903C8A"/>
    <w:rsid w:val="009074AE"/>
    <w:rsid w:val="00915F23"/>
    <w:rsid w:val="00922641"/>
    <w:rsid w:val="00924C7A"/>
    <w:rsid w:val="00926A3F"/>
    <w:rsid w:val="00930B7E"/>
    <w:rsid w:val="00931DB9"/>
    <w:rsid w:val="00941333"/>
    <w:rsid w:val="009547EF"/>
    <w:rsid w:val="009549AD"/>
    <w:rsid w:val="00957809"/>
    <w:rsid w:val="00970F7B"/>
    <w:rsid w:val="009717F0"/>
    <w:rsid w:val="00980928"/>
    <w:rsid w:val="009809FA"/>
    <w:rsid w:val="00983298"/>
    <w:rsid w:val="00985DDC"/>
    <w:rsid w:val="00990FCB"/>
    <w:rsid w:val="00991004"/>
    <w:rsid w:val="00991830"/>
    <w:rsid w:val="009A3A6B"/>
    <w:rsid w:val="009A6372"/>
    <w:rsid w:val="009B4006"/>
    <w:rsid w:val="009C1A43"/>
    <w:rsid w:val="009E0899"/>
    <w:rsid w:val="009E579E"/>
    <w:rsid w:val="009F07D8"/>
    <w:rsid w:val="009F4B04"/>
    <w:rsid w:val="00A023A7"/>
    <w:rsid w:val="00A17698"/>
    <w:rsid w:val="00A23048"/>
    <w:rsid w:val="00A27CCD"/>
    <w:rsid w:val="00A311BB"/>
    <w:rsid w:val="00A3648C"/>
    <w:rsid w:val="00A3732B"/>
    <w:rsid w:val="00A40FF1"/>
    <w:rsid w:val="00A4304D"/>
    <w:rsid w:val="00A55C1A"/>
    <w:rsid w:val="00A650F1"/>
    <w:rsid w:val="00A70EC7"/>
    <w:rsid w:val="00A92D30"/>
    <w:rsid w:val="00A93081"/>
    <w:rsid w:val="00A966FF"/>
    <w:rsid w:val="00A97F71"/>
    <w:rsid w:val="00AA1A28"/>
    <w:rsid w:val="00AA5ECC"/>
    <w:rsid w:val="00AB4446"/>
    <w:rsid w:val="00AC1A41"/>
    <w:rsid w:val="00AC7CBC"/>
    <w:rsid w:val="00AD41B3"/>
    <w:rsid w:val="00AE5F5A"/>
    <w:rsid w:val="00B052D7"/>
    <w:rsid w:val="00B36433"/>
    <w:rsid w:val="00B43960"/>
    <w:rsid w:val="00B46A51"/>
    <w:rsid w:val="00B534CB"/>
    <w:rsid w:val="00B544F8"/>
    <w:rsid w:val="00B63646"/>
    <w:rsid w:val="00B6366C"/>
    <w:rsid w:val="00B679BC"/>
    <w:rsid w:val="00B70DDA"/>
    <w:rsid w:val="00B8152C"/>
    <w:rsid w:val="00B879F6"/>
    <w:rsid w:val="00B91B22"/>
    <w:rsid w:val="00BA1F4F"/>
    <w:rsid w:val="00BA2F59"/>
    <w:rsid w:val="00BA5280"/>
    <w:rsid w:val="00BB0DA6"/>
    <w:rsid w:val="00BB314F"/>
    <w:rsid w:val="00BB3D98"/>
    <w:rsid w:val="00BB568C"/>
    <w:rsid w:val="00BD30A0"/>
    <w:rsid w:val="00BE75FC"/>
    <w:rsid w:val="00BF091C"/>
    <w:rsid w:val="00BF5B07"/>
    <w:rsid w:val="00C02F3D"/>
    <w:rsid w:val="00C20D14"/>
    <w:rsid w:val="00C42CC2"/>
    <w:rsid w:val="00C54F57"/>
    <w:rsid w:val="00C64E06"/>
    <w:rsid w:val="00C71DB3"/>
    <w:rsid w:val="00C728F5"/>
    <w:rsid w:val="00C7520F"/>
    <w:rsid w:val="00C7790D"/>
    <w:rsid w:val="00C77FED"/>
    <w:rsid w:val="00C80381"/>
    <w:rsid w:val="00C8345E"/>
    <w:rsid w:val="00C858E9"/>
    <w:rsid w:val="00C85C79"/>
    <w:rsid w:val="00C924F5"/>
    <w:rsid w:val="00C9252B"/>
    <w:rsid w:val="00CA640D"/>
    <w:rsid w:val="00CB42AD"/>
    <w:rsid w:val="00CC10E0"/>
    <w:rsid w:val="00CC2516"/>
    <w:rsid w:val="00CD1AC5"/>
    <w:rsid w:val="00CF311D"/>
    <w:rsid w:val="00D13277"/>
    <w:rsid w:val="00D36BF2"/>
    <w:rsid w:val="00D37D24"/>
    <w:rsid w:val="00D44552"/>
    <w:rsid w:val="00D51840"/>
    <w:rsid w:val="00D60339"/>
    <w:rsid w:val="00D7461B"/>
    <w:rsid w:val="00D75A29"/>
    <w:rsid w:val="00D82109"/>
    <w:rsid w:val="00D83233"/>
    <w:rsid w:val="00D84AC6"/>
    <w:rsid w:val="00D91D0A"/>
    <w:rsid w:val="00D93CC4"/>
    <w:rsid w:val="00D95A73"/>
    <w:rsid w:val="00DA0824"/>
    <w:rsid w:val="00DA1098"/>
    <w:rsid w:val="00DC6AD8"/>
    <w:rsid w:val="00DD425A"/>
    <w:rsid w:val="00DD4754"/>
    <w:rsid w:val="00DD64A7"/>
    <w:rsid w:val="00DF232A"/>
    <w:rsid w:val="00DF4687"/>
    <w:rsid w:val="00DF4E00"/>
    <w:rsid w:val="00DF5F81"/>
    <w:rsid w:val="00E00067"/>
    <w:rsid w:val="00E24DDA"/>
    <w:rsid w:val="00E26D35"/>
    <w:rsid w:val="00E33170"/>
    <w:rsid w:val="00E46969"/>
    <w:rsid w:val="00E47835"/>
    <w:rsid w:val="00E52EAB"/>
    <w:rsid w:val="00E54621"/>
    <w:rsid w:val="00E574C2"/>
    <w:rsid w:val="00E65F26"/>
    <w:rsid w:val="00E707A3"/>
    <w:rsid w:val="00E74898"/>
    <w:rsid w:val="00E77CE2"/>
    <w:rsid w:val="00E820E9"/>
    <w:rsid w:val="00E8385D"/>
    <w:rsid w:val="00EA0B9D"/>
    <w:rsid w:val="00EB1E23"/>
    <w:rsid w:val="00EB44B0"/>
    <w:rsid w:val="00EB7358"/>
    <w:rsid w:val="00EC0A62"/>
    <w:rsid w:val="00EC6EB1"/>
    <w:rsid w:val="00EE21CE"/>
    <w:rsid w:val="00EE75F2"/>
    <w:rsid w:val="00EF188C"/>
    <w:rsid w:val="00EF2414"/>
    <w:rsid w:val="00EF6337"/>
    <w:rsid w:val="00F0656C"/>
    <w:rsid w:val="00F21209"/>
    <w:rsid w:val="00F21772"/>
    <w:rsid w:val="00F23BF2"/>
    <w:rsid w:val="00F24E06"/>
    <w:rsid w:val="00F31273"/>
    <w:rsid w:val="00F46674"/>
    <w:rsid w:val="00F469AC"/>
    <w:rsid w:val="00F505CB"/>
    <w:rsid w:val="00F53FF4"/>
    <w:rsid w:val="00F63B07"/>
    <w:rsid w:val="00F64D9E"/>
    <w:rsid w:val="00F70BDE"/>
    <w:rsid w:val="00F737B0"/>
    <w:rsid w:val="00F97D21"/>
    <w:rsid w:val="00FB4624"/>
    <w:rsid w:val="00FB528D"/>
    <w:rsid w:val="00FD0976"/>
    <w:rsid w:val="00FD0F3D"/>
    <w:rsid w:val="00FD2F76"/>
    <w:rsid w:val="00FE058D"/>
    <w:rsid w:val="00FE450A"/>
    <w:rsid w:val="00FE592D"/>
    <w:rsid w:val="00FF275B"/>
    <w:rsid w:val="01464EB8"/>
    <w:rsid w:val="018450FF"/>
    <w:rsid w:val="019414AA"/>
    <w:rsid w:val="01E85604"/>
    <w:rsid w:val="06093262"/>
    <w:rsid w:val="06330786"/>
    <w:rsid w:val="07F13FAE"/>
    <w:rsid w:val="09D32864"/>
    <w:rsid w:val="0A8F57AD"/>
    <w:rsid w:val="0AF435D7"/>
    <w:rsid w:val="0B4F3FA9"/>
    <w:rsid w:val="0BDC0AD7"/>
    <w:rsid w:val="0BF815A5"/>
    <w:rsid w:val="0C4F2735"/>
    <w:rsid w:val="0C545E89"/>
    <w:rsid w:val="0CD23027"/>
    <w:rsid w:val="0CD40AAB"/>
    <w:rsid w:val="0CFB671F"/>
    <w:rsid w:val="0DEA2D00"/>
    <w:rsid w:val="0EC4386C"/>
    <w:rsid w:val="0F9D67F0"/>
    <w:rsid w:val="0FEC49C9"/>
    <w:rsid w:val="102B29FC"/>
    <w:rsid w:val="1074288C"/>
    <w:rsid w:val="14E33A41"/>
    <w:rsid w:val="17606B7B"/>
    <w:rsid w:val="18291412"/>
    <w:rsid w:val="190241D6"/>
    <w:rsid w:val="191A4467"/>
    <w:rsid w:val="19262ED6"/>
    <w:rsid w:val="19877E28"/>
    <w:rsid w:val="19B37E9B"/>
    <w:rsid w:val="1A070F52"/>
    <w:rsid w:val="1CBE01BB"/>
    <w:rsid w:val="1CC504BB"/>
    <w:rsid w:val="1F4DA7E9"/>
    <w:rsid w:val="20C51598"/>
    <w:rsid w:val="20FF1092"/>
    <w:rsid w:val="2177350B"/>
    <w:rsid w:val="22D40DB1"/>
    <w:rsid w:val="23A57208"/>
    <w:rsid w:val="23B01354"/>
    <w:rsid w:val="292B04BE"/>
    <w:rsid w:val="29F2720C"/>
    <w:rsid w:val="306B7CE6"/>
    <w:rsid w:val="30813A82"/>
    <w:rsid w:val="3259743B"/>
    <w:rsid w:val="33576BAF"/>
    <w:rsid w:val="336075DF"/>
    <w:rsid w:val="35675949"/>
    <w:rsid w:val="37972F51"/>
    <w:rsid w:val="38576A3B"/>
    <w:rsid w:val="393A37B9"/>
    <w:rsid w:val="3AF577AD"/>
    <w:rsid w:val="3B391F70"/>
    <w:rsid w:val="3E040F7B"/>
    <w:rsid w:val="3F430CC3"/>
    <w:rsid w:val="3F8E2B6C"/>
    <w:rsid w:val="3FA272FD"/>
    <w:rsid w:val="40CF57F7"/>
    <w:rsid w:val="41E34F44"/>
    <w:rsid w:val="423A41C8"/>
    <w:rsid w:val="444F39A9"/>
    <w:rsid w:val="45A2455E"/>
    <w:rsid w:val="468F23A0"/>
    <w:rsid w:val="48931B02"/>
    <w:rsid w:val="49BB5BEF"/>
    <w:rsid w:val="4A895CED"/>
    <w:rsid w:val="4AA867B8"/>
    <w:rsid w:val="4BD23C4C"/>
    <w:rsid w:val="4D5B7941"/>
    <w:rsid w:val="4E916579"/>
    <w:rsid w:val="4ED05D6E"/>
    <w:rsid w:val="4F183F51"/>
    <w:rsid w:val="531C6EF4"/>
    <w:rsid w:val="53F32990"/>
    <w:rsid w:val="58E92D03"/>
    <w:rsid w:val="594F62BC"/>
    <w:rsid w:val="5A1B7FE4"/>
    <w:rsid w:val="5B6B27CB"/>
    <w:rsid w:val="5C642116"/>
    <w:rsid w:val="5C741455"/>
    <w:rsid w:val="5C8A200D"/>
    <w:rsid w:val="5F1715AE"/>
    <w:rsid w:val="5F5E3CC7"/>
    <w:rsid w:val="5FFE8EEA"/>
    <w:rsid w:val="609366BE"/>
    <w:rsid w:val="62EC36EE"/>
    <w:rsid w:val="634324F2"/>
    <w:rsid w:val="64346608"/>
    <w:rsid w:val="649966D5"/>
    <w:rsid w:val="65C02870"/>
    <w:rsid w:val="65D176E4"/>
    <w:rsid w:val="66D14182"/>
    <w:rsid w:val="67823528"/>
    <w:rsid w:val="6995B0F8"/>
    <w:rsid w:val="6A22522B"/>
    <w:rsid w:val="6AAD2357"/>
    <w:rsid w:val="6B6E5A99"/>
    <w:rsid w:val="6BC73335"/>
    <w:rsid w:val="6CE41ECF"/>
    <w:rsid w:val="6D586C9C"/>
    <w:rsid w:val="6E9147F1"/>
    <w:rsid w:val="6F265197"/>
    <w:rsid w:val="6FDE46F4"/>
    <w:rsid w:val="71040655"/>
    <w:rsid w:val="711C44B9"/>
    <w:rsid w:val="72133F6A"/>
    <w:rsid w:val="735943A6"/>
    <w:rsid w:val="73650000"/>
    <w:rsid w:val="73E943BC"/>
    <w:rsid w:val="742C5038"/>
    <w:rsid w:val="744C2DFB"/>
    <w:rsid w:val="74C91B28"/>
    <w:rsid w:val="7741229E"/>
    <w:rsid w:val="78586D57"/>
    <w:rsid w:val="79A0249E"/>
    <w:rsid w:val="7A37456E"/>
    <w:rsid w:val="7A426E97"/>
    <w:rsid w:val="7CFB5635"/>
    <w:rsid w:val="7E225949"/>
    <w:rsid w:val="7F1255AA"/>
    <w:rsid w:val="7FFF2C7D"/>
    <w:rsid w:val="8D5901DD"/>
    <w:rsid w:val="BB5AD083"/>
    <w:rsid w:val="BB5FBF04"/>
    <w:rsid w:val="BEFF5CD2"/>
    <w:rsid w:val="CF7BB15A"/>
    <w:rsid w:val="DF358D20"/>
    <w:rsid w:val="EAED72AA"/>
    <w:rsid w:val="EFFF7DF5"/>
    <w:rsid w:val="F4E76E15"/>
    <w:rsid w:val="F7BDB638"/>
    <w:rsid w:val="F7F59C32"/>
    <w:rsid w:val="F7FF61D0"/>
    <w:rsid w:val="FE773C73"/>
    <w:rsid w:val="FFCDA9B3"/>
    <w:rsid w:val="FFD23ED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annotation text"/>
    <w:basedOn w:val="1"/>
    <w:qFormat/>
    <w:uiPriority w:val="0"/>
    <w:pPr>
      <w:jc w:val="left"/>
    </w:pPr>
  </w:style>
  <w:style w:type="paragraph" w:styleId="4">
    <w:name w:val="Body Text"/>
    <w:basedOn w:val="1"/>
    <w:next w:val="5"/>
    <w:qFormat/>
    <w:uiPriority w:val="99"/>
    <w:pPr>
      <w:widowControl/>
      <w:snapToGrid w:val="0"/>
      <w:spacing w:line="360" w:lineRule="auto"/>
      <w:ind w:right="0" w:firstLine="1440" w:firstLineChars="200"/>
      <w:jc w:val="both"/>
    </w:pPr>
    <w:rPr>
      <w:rFonts w:ascii="Times New Roman" w:hAnsi="Times New Roman" w:eastAsia="宋体"/>
      <w:kern w:val="0"/>
    </w:rPr>
  </w:style>
  <w:style w:type="paragraph" w:customStyle="1" w:styleId="5">
    <w:name w:val="xl27"/>
    <w:basedOn w:val="1"/>
    <w:next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snapToGrid/>
      <w:kern w:val="0"/>
      <w:sz w:val="24"/>
    </w:rPr>
  </w:style>
  <w:style w:type="paragraph" w:styleId="6">
    <w:name w:val="Date"/>
    <w:basedOn w:val="1"/>
    <w:next w:val="1"/>
    <w:qFormat/>
    <w:uiPriority w:val="0"/>
    <w:pPr>
      <w:ind w:left="100" w:leftChars="2500"/>
    </w:p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2">
    <w:name w:val="page number"/>
    <w:basedOn w:val="11"/>
    <w:qFormat/>
    <w:uiPriority w:val="0"/>
  </w:style>
  <w:style w:type="paragraph" w:customStyle="1" w:styleId="13">
    <w:name w:val="Default"/>
    <w:basedOn w:val="14"/>
    <w:qFormat/>
    <w:uiPriority w:val="0"/>
    <w:pPr>
      <w:autoSpaceDE w:val="0"/>
      <w:autoSpaceDN w:val="0"/>
      <w:adjustRightInd w:val="0"/>
      <w:spacing w:line="360" w:lineRule="auto"/>
      <w:jc w:val="center"/>
    </w:pPr>
    <w:rPr>
      <w:rFonts w:ascii="Times New Roman" w:hAnsi="Times New Roman" w:eastAsiaTheme="minorEastAsia"/>
      <w:bCs/>
      <w:sz w:val="21"/>
      <w:szCs w:val="21"/>
    </w:rPr>
  </w:style>
  <w:style w:type="paragraph" w:customStyle="1" w:styleId="14">
    <w:name w:val="纯文本1"/>
    <w:basedOn w:val="1"/>
    <w:qFormat/>
    <w:uiPriority w:val="0"/>
    <w:pPr>
      <w:spacing w:line="240" w:lineRule="auto"/>
    </w:pPr>
    <w:rPr>
      <w:rFonts w:ascii="宋体" w:hAnsi="Courier New"/>
      <w:kern w:val="0"/>
    </w:rPr>
  </w:style>
  <w:style w:type="paragraph" w:customStyle="1" w:styleId="15">
    <w:name w:val=" Char1"/>
    <w:basedOn w:val="1"/>
    <w:qFormat/>
    <w:uiPriority w:val="0"/>
    <w:pPr>
      <w:spacing w:line="360" w:lineRule="auto"/>
      <w:ind w:firstLine="200" w:firstLineChars="200"/>
    </w:pPr>
    <w:rPr>
      <w:rFonts w:ascii="宋体" w:cs="宋体"/>
      <w:sz w:val="24"/>
      <w:lang w:bidi="ar-SA"/>
    </w:rPr>
  </w:style>
  <w:style w:type="paragraph" w:customStyle="1" w:styleId="16">
    <w:name w:val="Char Char Char"/>
    <w:basedOn w:val="2"/>
    <w:qFormat/>
    <w:uiPriority w:val="0"/>
    <w:pPr>
      <w:adjustRightInd w:val="0"/>
      <w:spacing w:line="436" w:lineRule="exact"/>
      <w:ind w:left="357"/>
      <w:jc w:val="left"/>
      <w:outlineLvl w:val="3"/>
    </w:pPr>
    <w:rPr>
      <w:rFonts w:ascii="Tahoma" w:hAnsi="Tahoma"/>
      <w:b/>
      <w:sz w:val="44"/>
    </w:rPr>
  </w:style>
  <w:style w:type="paragraph" w:customStyle="1" w:styleId="17">
    <w:name w:val="1 Char"/>
    <w:basedOn w:val="1"/>
    <w:qFormat/>
    <w:uiPriority w:val="0"/>
    <w:rPr>
      <w:sz w:val="24"/>
    </w:rPr>
  </w:style>
  <w:style w:type="paragraph" w:customStyle="1" w:styleId="18">
    <w:name w:val="永环书正文"/>
    <w:basedOn w:val="1"/>
    <w:qFormat/>
    <w:uiPriority w:val="0"/>
    <w:pPr>
      <w:spacing w:before="62" w:beforeLines="20" w:after="62" w:afterLines="20" w:line="360" w:lineRule="auto"/>
      <w:ind w:firstLine="200" w:firstLineChars="200"/>
    </w:pPr>
    <w:rPr>
      <w:sz w:val="24"/>
    </w:rPr>
  </w:style>
  <w:style w:type="paragraph" w:customStyle="1" w:styleId="19">
    <w:name w:val="正文小四"/>
    <w:qFormat/>
    <w:uiPriority w:val="0"/>
    <w:pPr>
      <w:ind w:firstLine="150" w:firstLineChars="150"/>
    </w:pPr>
    <w:rPr>
      <w:rFonts w:ascii="宋体" w:hAnsi="Times New Roman" w:eastAsia="宋体" w:cs="Times New Roman"/>
      <w:kern w:val="2"/>
      <w:sz w:val="24"/>
      <w:szCs w:val="24"/>
      <w:lang w:val="en-US" w:eastAsia="zh-CN" w:bidi="ar-SA"/>
    </w:rPr>
  </w:style>
  <w:style w:type="character" w:customStyle="1" w:styleId="20">
    <w:name w:val="15"/>
    <w:basedOn w:val="11"/>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3336</Words>
  <Characters>3589</Characters>
  <Lines>15</Lines>
  <Paragraphs>4</Paragraphs>
  <TotalTime>21</TotalTime>
  <ScaleCrop>false</ScaleCrop>
  <LinksUpToDate>false</LinksUpToDate>
  <CharactersWithSpaces>3590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2013-12-06T07:31:00Z</dcterms:created>
  <dc:creator>微软用户</dc:creator>
  <cp:lastModifiedBy>勤能补拙</cp:lastModifiedBy>
  <cp:lastPrinted>2025-09-30T11:53:00Z</cp:lastPrinted>
  <dcterms:modified xsi:type="dcterms:W3CDTF">2025-09-30T07:59:43Z</dcterms:modified>
  <dc:title>永环评[2012] 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20B98B531E754330AD7AF9933A43E04B</vt:lpwstr>
  </property>
  <property fmtid="{D5CDD505-2E9C-101B-9397-08002B2CF9AE}" pid="4" name="KSOTemplateDocerSaveRecord">
    <vt:lpwstr>eyJoZGlkIjoiZjQ5Y2QyZWZlZjcyZDkzNzY2Mjc0NmY3NGMzMzViNDYiLCJ1c2VySWQiOiIyNjIyMTk2MTkifQ==</vt:lpwstr>
  </property>
</Properties>
</file>