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620" w:lineRule="exact"/>
        <w:jc w:val="center"/>
        <w:textAlignment w:val="auto"/>
        <w:rPr>
          <w:rFonts w:hint="eastAsia" w:ascii="仿宋_GB2312" w:hAnsi="仿宋" w:eastAsia="仿宋_GB2312" w:cs="仿宋_GB2312"/>
          <w:color w:val="000000"/>
          <w:sz w:val="32"/>
          <w:szCs w:val="32"/>
          <w:lang w:val="zh-CN"/>
        </w:rPr>
      </w:pPr>
    </w:p>
    <w:p>
      <w:pPr>
        <w:keepNext w:val="0"/>
        <w:keepLines w:val="0"/>
        <w:pageBreakBefore w:val="0"/>
        <w:widowControl w:val="0"/>
        <w:kinsoku/>
        <w:wordWrap/>
        <w:overflowPunct/>
        <w:topLinePunct w:val="0"/>
        <w:autoSpaceDE/>
        <w:autoSpaceDN/>
        <w:bidi w:val="0"/>
        <w:adjustRightInd w:val="0"/>
        <w:snapToGrid w:val="0"/>
        <w:spacing w:line="620" w:lineRule="exact"/>
        <w:jc w:val="center"/>
        <w:textAlignment w:val="auto"/>
        <w:rPr>
          <w:rFonts w:hint="eastAsia" w:ascii="仿宋_GB2312" w:hAnsi="仿宋" w:eastAsia="仿宋_GB2312" w:cs="仿宋_GB2312"/>
          <w:color w:val="000000"/>
          <w:sz w:val="32"/>
          <w:szCs w:val="32"/>
          <w:lang w:val="zh-CN"/>
        </w:rPr>
      </w:pPr>
    </w:p>
    <w:p>
      <w:pPr>
        <w:keepNext w:val="0"/>
        <w:keepLines w:val="0"/>
        <w:pageBreakBefore w:val="0"/>
        <w:widowControl w:val="0"/>
        <w:kinsoku/>
        <w:wordWrap/>
        <w:overflowPunct/>
        <w:topLinePunct w:val="0"/>
        <w:autoSpaceDE/>
        <w:autoSpaceDN/>
        <w:bidi w:val="0"/>
        <w:adjustRightInd w:val="0"/>
        <w:snapToGrid w:val="0"/>
        <w:spacing w:line="620" w:lineRule="exact"/>
        <w:jc w:val="center"/>
        <w:textAlignment w:val="auto"/>
        <w:rPr>
          <w:rFonts w:hint="eastAsia" w:ascii="仿宋_GB2312" w:hAnsi="仿宋" w:eastAsia="仿宋_GB2312" w:cs="仿宋_GB2312"/>
          <w:color w:val="000000"/>
          <w:sz w:val="32"/>
          <w:szCs w:val="32"/>
          <w:lang w:val="zh-CN"/>
        </w:rPr>
      </w:pPr>
    </w:p>
    <w:p>
      <w:pPr>
        <w:keepNext w:val="0"/>
        <w:keepLines w:val="0"/>
        <w:pageBreakBefore w:val="0"/>
        <w:widowControl w:val="0"/>
        <w:kinsoku/>
        <w:wordWrap/>
        <w:overflowPunct/>
        <w:topLinePunct w:val="0"/>
        <w:autoSpaceDE/>
        <w:autoSpaceDN/>
        <w:bidi w:val="0"/>
        <w:adjustRightInd w:val="0"/>
        <w:snapToGrid w:val="0"/>
        <w:spacing w:line="620" w:lineRule="exact"/>
        <w:jc w:val="center"/>
        <w:textAlignment w:val="auto"/>
        <w:rPr>
          <w:rFonts w:ascii="仿宋_GB2312" w:hAnsi="仿宋" w:eastAsia="仿宋_GB2312"/>
          <w:color w:val="000000"/>
          <w:sz w:val="32"/>
          <w:szCs w:val="32"/>
          <w:highlight w:val="yellow"/>
        </w:rPr>
      </w:pPr>
      <w:r>
        <w:rPr>
          <w:rFonts w:hint="eastAsia" w:ascii="仿宋_GB2312" w:hAnsi="仿宋" w:eastAsia="仿宋_GB2312" w:cs="仿宋_GB2312"/>
          <w:color w:val="000000"/>
          <w:sz w:val="32"/>
          <w:szCs w:val="32"/>
          <w:lang w:val="zh-CN"/>
        </w:rPr>
        <w:t>永环评〔20</w:t>
      </w:r>
      <w:r>
        <w:rPr>
          <w:rFonts w:hint="eastAsia" w:ascii="仿宋_GB2312" w:hAnsi="仿宋" w:eastAsia="仿宋_GB2312" w:cs="仿宋_GB2312"/>
          <w:color w:val="000000"/>
          <w:sz w:val="32"/>
          <w:szCs w:val="32"/>
        </w:rPr>
        <w:t>25〕</w:t>
      </w:r>
      <w:r>
        <w:rPr>
          <w:rFonts w:hint="eastAsia" w:ascii="仿宋_GB2312" w:hAnsi="仿宋" w:eastAsia="仿宋_GB2312" w:cs="仿宋_GB2312"/>
          <w:color w:val="000000"/>
          <w:sz w:val="32"/>
          <w:szCs w:val="32"/>
          <w:lang w:val="en-US" w:eastAsia="zh-CN"/>
        </w:rPr>
        <w:t>34</w:t>
      </w:r>
      <w:r>
        <w:rPr>
          <w:rFonts w:hint="eastAsia" w:ascii="仿宋_GB2312" w:hAnsi="仿宋" w:eastAsia="仿宋_GB2312" w:cs="仿宋_GB2312"/>
          <w:color w:val="000000"/>
          <w:sz w:val="32"/>
          <w:szCs w:val="32"/>
          <w:lang w:val="zh-CN"/>
        </w:rPr>
        <w:t>号</w:t>
      </w:r>
    </w:p>
    <w:p>
      <w:pPr>
        <w:keepNext w:val="0"/>
        <w:keepLines w:val="0"/>
        <w:pageBreakBefore w:val="0"/>
        <w:widowControl w:val="0"/>
        <w:kinsoku/>
        <w:wordWrap/>
        <w:overflowPunct/>
        <w:topLinePunct w:val="0"/>
        <w:autoSpaceDE/>
        <w:autoSpaceDN/>
        <w:bidi w:val="0"/>
        <w:adjustRightInd w:val="0"/>
        <w:snapToGrid w:val="0"/>
        <w:spacing w:line="620" w:lineRule="exact"/>
        <w:textAlignment w:val="auto"/>
        <w:rPr>
          <w:rFonts w:ascii="仿宋" w:hAnsi="仿宋" w:eastAsia="仿宋"/>
          <w:b/>
          <w:bCs/>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简体" w:hAnsi="方正小标宋简体" w:eastAsia="方正小标宋简体" w:cs="方正小标宋简体"/>
          <w:color w:val="000000"/>
          <w:spacing w:val="-11"/>
          <w:sz w:val="44"/>
          <w:szCs w:val="44"/>
          <w:lang w:val="zh-CN"/>
        </w:rPr>
      </w:pPr>
      <w:r>
        <w:rPr>
          <w:rFonts w:hint="eastAsia" w:ascii="方正小标宋简体" w:hAnsi="方正小标宋简体" w:eastAsia="方正小标宋简体" w:cs="方正小标宋简体"/>
          <w:color w:val="000000"/>
          <w:spacing w:val="-11"/>
          <w:sz w:val="44"/>
          <w:szCs w:val="44"/>
          <w:lang w:val="zh-CN"/>
        </w:rPr>
        <w:t>关于</w:t>
      </w:r>
      <w:r>
        <w:rPr>
          <w:rFonts w:hint="eastAsia" w:ascii="方正小标宋简体" w:hAnsi="方正小标宋简体" w:eastAsia="方正小标宋简体" w:cs="方正小标宋简体"/>
          <w:color w:val="000000"/>
          <w:spacing w:val="-11"/>
          <w:sz w:val="44"/>
          <w:szCs w:val="44"/>
          <w:lang w:eastAsia="zh-CN"/>
        </w:rPr>
        <w:t>东安县绿色食品智汇产业园项目</w:t>
      </w:r>
      <w:r>
        <w:rPr>
          <w:rFonts w:hint="eastAsia" w:ascii="方正小标宋简体" w:hAnsi="方正小标宋简体" w:eastAsia="方正小标宋简体" w:cs="方正小标宋简体"/>
          <w:color w:val="000000"/>
          <w:spacing w:val="-11"/>
          <w:sz w:val="44"/>
          <w:szCs w:val="44"/>
        </w:rPr>
        <w:t>环境影响报告书</w:t>
      </w:r>
      <w:r>
        <w:rPr>
          <w:rFonts w:hint="eastAsia" w:ascii="方正小标宋简体" w:hAnsi="方正小标宋简体" w:eastAsia="方正小标宋简体" w:cs="方正小标宋简体"/>
          <w:color w:val="000000"/>
          <w:spacing w:val="-11"/>
          <w:sz w:val="44"/>
          <w:szCs w:val="44"/>
          <w:lang w:val="zh-CN"/>
        </w:rPr>
        <w:t>的批复</w:t>
      </w:r>
    </w:p>
    <w:p>
      <w:pPr>
        <w:keepNext w:val="0"/>
        <w:keepLines w:val="0"/>
        <w:pageBreakBefore w:val="0"/>
        <w:widowControl w:val="0"/>
        <w:kinsoku/>
        <w:wordWrap/>
        <w:overflowPunct/>
        <w:topLinePunct w:val="0"/>
        <w:autoSpaceDE/>
        <w:autoSpaceDN/>
        <w:bidi w:val="0"/>
        <w:spacing w:line="600" w:lineRule="exact"/>
        <w:ind w:firstLine="642" w:firstLineChars="200"/>
        <w:textAlignment w:val="auto"/>
        <w:rPr>
          <w:rFonts w:hint="default" w:ascii="Times New Roman" w:hAnsi="Times New Roman" w:eastAsia="仿宋_GB2312" w:cs="Times New Roman"/>
          <w:b/>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snapToGrid w:val="0"/>
        <w:spacing w:line="60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东安广利实业发展有限公司</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snapToGrid w:val="0"/>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你公司关于申请审批的报告、《</w:t>
      </w:r>
      <w:r>
        <w:rPr>
          <w:rFonts w:hint="eastAsia" w:ascii="仿宋_GB2312" w:hAnsi="仿宋_GB2312" w:eastAsia="仿宋_GB2312" w:cs="仿宋_GB2312"/>
          <w:color w:val="000000" w:themeColor="text1"/>
          <w:sz w:val="32"/>
          <w:szCs w:val="32"/>
          <w:lang w:eastAsia="zh-CN"/>
          <w14:textFill>
            <w14:solidFill>
              <w14:schemeClr w14:val="tx1"/>
            </w14:solidFill>
          </w14:textFill>
        </w:rPr>
        <w:t>东安县绿色食品智汇产业园项目</w:t>
      </w:r>
      <w:r>
        <w:rPr>
          <w:rFonts w:hint="eastAsia" w:ascii="仿宋_GB2312" w:hAnsi="仿宋_GB2312" w:eastAsia="仿宋_GB2312" w:cs="仿宋_GB2312"/>
          <w:color w:val="000000" w:themeColor="text1"/>
          <w:sz w:val="32"/>
          <w:szCs w:val="32"/>
          <w14:textFill>
            <w14:solidFill>
              <w14:schemeClr w14:val="tx1"/>
            </w14:solidFill>
          </w14:textFill>
        </w:rPr>
        <w:t>环境影响报告书》（报批稿）</w:t>
      </w:r>
      <w:r>
        <w:rPr>
          <w:rFonts w:hint="eastAsia" w:ascii="仿宋_GB2312" w:hAnsi="仿宋_GB2312" w:eastAsia="仿宋_GB2312" w:cs="仿宋_GB2312"/>
          <w:color w:val="000000" w:themeColor="text1"/>
          <w:sz w:val="32"/>
          <w:szCs w:val="32"/>
          <w:lang w:eastAsia="zh-CN"/>
          <w14:textFill>
            <w14:solidFill>
              <w14:schemeClr w14:val="tx1"/>
            </w14:solidFill>
          </w14:textFill>
        </w:rPr>
        <w:t>和东安分局</w:t>
      </w:r>
      <w:r>
        <w:rPr>
          <w:rFonts w:hint="eastAsia" w:ascii="仿宋_GB2312" w:hAnsi="仿宋_GB2312" w:eastAsia="仿宋_GB2312" w:cs="仿宋_GB2312"/>
          <w:color w:val="000000" w:themeColor="text1"/>
          <w:sz w:val="32"/>
          <w:szCs w:val="32"/>
          <w14:textFill>
            <w14:solidFill>
              <w14:schemeClr w14:val="tx1"/>
            </w14:solidFill>
          </w14:textFill>
        </w:rPr>
        <w:t>的预审意见及相关附件收悉，经研究，</w:t>
      </w:r>
      <w:r>
        <w:rPr>
          <w:rFonts w:hint="eastAsia" w:ascii="仿宋_GB2312" w:hAnsi="仿宋_GB2312" w:eastAsia="仿宋_GB2312" w:cs="仿宋_GB2312"/>
          <w:color w:val="000000" w:themeColor="text1"/>
          <w:sz w:val="32"/>
          <w:szCs w:val="32"/>
          <w:lang w:eastAsia="zh-CN"/>
          <w14:textFill>
            <w14:solidFill>
              <w14:schemeClr w14:val="tx1"/>
            </w14:solidFill>
          </w14:textFill>
        </w:rPr>
        <w:t>现</w:t>
      </w:r>
      <w:r>
        <w:rPr>
          <w:rFonts w:hint="eastAsia" w:ascii="仿宋_GB2312" w:hAnsi="仿宋_GB2312" w:eastAsia="仿宋_GB2312" w:cs="仿宋_GB2312"/>
          <w:color w:val="000000" w:themeColor="text1"/>
          <w:sz w:val="32"/>
          <w:szCs w:val="32"/>
          <w14:textFill>
            <w14:solidFill>
              <w14:schemeClr w14:val="tx1"/>
            </w14:solidFill>
          </w14:textFill>
        </w:rPr>
        <w:t>批复如下：</w:t>
      </w:r>
    </w:p>
    <w:p>
      <w:pPr>
        <w:spacing w:beforeLines="0" w:afterLines="0"/>
        <w:ind w:firstLine="640" w:firstLineChars="200"/>
        <w:jc w:val="left"/>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w:t>
      </w:r>
      <w:r>
        <w:rPr>
          <w:rFonts w:hint="eastAsia" w:ascii="仿宋_GB2312" w:hAnsi="仿宋_GB2312" w:eastAsia="仿宋_GB2312" w:cs="仿宋_GB2312"/>
          <w:color w:val="000000" w:themeColor="text1"/>
          <w:sz w:val="32"/>
          <w:szCs w:val="32"/>
          <w:lang w:eastAsia="zh-CN"/>
          <w14:textFill>
            <w14:solidFill>
              <w14:schemeClr w14:val="tx1"/>
            </w14:solidFill>
          </w14:textFill>
        </w:rPr>
        <w:t>东安县绿色食品智汇产业园项目</w:t>
      </w:r>
      <w:r>
        <w:rPr>
          <w:rFonts w:hint="eastAsia" w:ascii="仿宋_GB2312" w:hAnsi="仿宋_GB2312" w:eastAsia="仿宋_GB2312" w:cs="仿宋_GB2312"/>
          <w:color w:val="000000" w:themeColor="text1"/>
          <w:sz w:val="32"/>
          <w:szCs w:val="32"/>
          <w14:textFill>
            <w14:solidFill>
              <w14:schemeClr w14:val="tx1"/>
            </w14:solidFill>
          </w14:textFill>
        </w:rPr>
        <w:t>位于位于永州市东安县井头圩镇八字门村冷东公路南侧</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原东安县生活垃圾处理中心厂区</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项目地理中心坐标为：东经111°23′11.46″，北纬26°23′20.09″</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占地面积49161.5m</w:t>
      </w:r>
      <w:r>
        <w:rPr>
          <w:rFonts w:hint="eastAsia" w:ascii="仿宋_GB2312" w:hAnsi="仿宋_GB2312" w:eastAsia="仿宋_GB2312" w:cs="仿宋_GB2312"/>
          <w:color w:val="000000" w:themeColor="text1"/>
          <w:sz w:val="32"/>
          <w:szCs w:val="32"/>
          <w:vertAlign w:val="superscript"/>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总</w:t>
      </w:r>
      <w:r>
        <w:rPr>
          <w:rFonts w:hint="eastAsia" w:ascii="仿宋_GB2312" w:hAnsi="仿宋_GB2312" w:eastAsia="仿宋_GB2312" w:cs="仿宋_GB2312"/>
          <w:color w:val="000000" w:themeColor="text1"/>
          <w:sz w:val="32"/>
          <w:szCs w:val="32"/>
          <w14:textFill>
            <w14:solidFill>
              <w14:schemeClr w14:val="tx1"/>
            </w14:solidFill>
          </w14:textFill>
        </w:rPr>
        <w:t>建筑面积</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37376</w:t>
      </w:r>
      <w:r>
        <w:rPr>
          <w:rFonts w:hint="eastAsia" w:ascii="仿宋_GB2312" w:hAnsi="仿宋_GB2312" w:eastAsia="仿宋_GB2312" w:cs="仿宋_GB2312"/>
          <w:color w:val="000000" w:themeColor="text1"/>
          <w:sz w:val="32"/>
          <w:szCs w:val="32"/>
          <w14:textFill>
            <w14:solidFill>
              <w14:schemeClr w14:val="tx1"/>
            </w14:solidFill>
          </w14:textFill>
        </w:rPr>
        <w:t xml:space="preserve"> m</w:t>
      </w:r>
      <w:r>
        <w:rPr>
          <w:rFonts w:hint="eastAsia" w:ascii="仿宋_GB2312" w:hAnsi="仿宋_GB2312" w:eastAsia="仿宋_GB2312" w:cs="仿宋_GB2312"/>
          <w:color w:val="000000" w:themeColor="text1"/>
          <w:sz w:val="32"/>
          <w:szCs w:val="32"/>
          <w:vertAlign w:val="superscript"/>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，主要建设内容包括</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冷链配送中心、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生</w:t>
      </w:r>
      <w:r>
        <w:rPr>
          <w:rFonts w:hint="eastAsia" w:ascii="仿宋_GB2312" w:hAnsi="仿宋_GB2312" w:eastAsia="仿宋_GB2312" w:cs="仿宋_GB2312"/>
          <w:color w:val="000000" w:themeColor="text1"/>
          <w:sz w:val="32"/>
          <w:szCs w:val="32"/>
          <w14:textFill>
            <w14:solidFill>
              <w14:schemeClr w14:val="tx1"/>
            </w14:solidFill>
          </w14:textFill>
        </w:rPr>
        <w:t>猪屠宰加工车间、牛羊屠宰加工车间、鸡鸭屠宰加工车间、仓储及配套设施等，同步建设与生产规模相适应的环保设施设备，建成后年屠宰生猪</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30</w:t>
      </w:r>
      <w:r>
        <w:rPr>
          <w:rFonts w:hint="eastAsia" w:ascii="仿宋_GB2312" w:hAnsi="仿宋_GB2312" w:eastAsia="仿宋_GB2312" w:cs="仿宋_GB2312"/>
          <w:color w:val="000000" w:themeColor="text1"/>
          <w:sz w:val="32"/>
          <w:szCs w:val="32"/>
          <w14:textFill>
            <w14:solidFill>
              <w14:schemeClr w14:val="tx1"/>
            </w14:solidFill>
          </w14:textFill>
        </w:rPr>
        <w:t>万头，牛、羊5万头，鸡、鸭等活禽1000万羽。项目总投资18635.45万元，其中环保投资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1158</w:t>
      </w:r>
      <w:r>
        <w:rPr>
          <w:rFonts w:hint="eastAsia" w:ascii="仿宋_GB2312" w:hAnsi="仿宋_GB2312" w:eastAsia="仿宋_GB2312" w:cs="仿宋_GB2312"/>
          <w:color w:val="000000" w:themeColor="text1"/>
          <w:sz w:val="32"/>
          <w:szCs w:val="32"/>
          <w14:textFill>
            <w14:solidFill>
              <w14:schemeClr w14:val="tx1"/>
            </w14:solidFill>
          </w14:textFill>
        </w:rPr>
        <w:t>万元，</w:t>
      </w:r>
      <w:r>
        <w:rPr>
          <w:rFonts w:hint="eastAsia" w:ascii="仿宋_GB2312" w:hAnsi="仿宋_GB2312" w:eastAsia="仿宋_GB2312" w:cs="仿宋_GB2312"/>
          <w:color w:val="000000" w:themeColor="text1"/>
          <w:sz w:val="32"/>
          <w:szCs w:val="32"/>
          <w:lang w:eastAsia="zh-CN"/>
          <w14:textFill>
            <w14:solidFill>
              <w14:schemeClr w14:val="tx1"/>
            </w14:solidFill>
          </w14:textFill>
        </w:rPr>
        <w:t>约</w:t>
      </w:r>
      <w:r>
        <w:rPr>
          <w:rFonts w:hint="eastAsia" w:ascii="仿宋_GB2312" w:hAnsi="仿宋_GB2312" w:eastAsia="仿宋_GB2312" w:cs="仿宋_GB2312"/>
          <w:color w:val="000000" w:themeColor="text1"/>
          <w:sz w:val="32"/>
          <w:szCs w:val="32"/>
          <w14:textFill>
            <w14:solidFill>
              <w14:schemeClr w14:val="tx1"/>
            </w14:solidFill>
          </w14:textFill>
        </w:rPr>
        <w:t>占</w:t>
      </w:r>
      <w:r>
        <w:rPr>
          <w:rFonts w:hint="eastAsia" w:ascii="仿宋_GB2312" w:hAnsi="仿宋_GB2312" w:eastAsia="仿宋_GB2312" w:cs="仿宋_GB2312"/>
          <w:color w:val="000000" w:themeColor="text1"/>
          <w:sz w:val="32"/>
          <w:szCs w:val="32"/>
          <w:lang w:eastAsia="zh-CN"/>
          <w14:textFill>
            <w14:solidFill>
              <w14:schemeClr w14:val="tx1"/>
            </w14:solidFill>
          </w14:textFill>
        </w:rPr>
        <w:t>总</w:t>
      </w:r>
      <w:r>
        <w:rPr>
          <w:rFonts w:hint="eastAsia" w:ascii="仿宋_GB2312" w:hAnsi="仿宋_GB2312" w:eastAsia="仿宋_GB2312" w:cs="仿宋_GB2312"/>
          <w:color w:val="000000" w:themeColor="text1"/>
          <w:sz w:val="32"/>
          <w:szCs w:val="32"/>
          <w14:textFill>
            <w14:solidFill>
              <w14:schemeClr w14:val="tx1"/>
            </w14:solidFill>
          </w14:textFill>
        </w:rPr>
        <w:t>投资的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6.21</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eastAsia="zh-CN"/>
          <w14:textFill>
            <w14:solidFill>
              <w14:schemeClr w14:val="tx1"/>
            </w14:solidFill>
          </w14:textFill>
        </w:rPr>
        <w:t>本项目运营后，</w:t>
      </w:r>
      <w:r>
        <w:rPr>
          <w:rFonts w:hint="eastAsia" w:ascii="仿宋_GB2312" w:hAnsi="仿宋_GB2312" w:eastAsia="仿宋_GB2312" w:cs="仿宋_GB2312"/>
          <w:color w:val="000000" w:themeColor="text1"/>
          <w:sz w:val="32"/>
          <w:szCs w:val="32"/>
          <w14:textFill>
            <w14:solidFill>
              <w14:schemeClr w14:val="tx1"/>
            </w14:solidFill>
          </w14:textFill>
        </w:rPr>
        <w:t>东安县</w:t>
      </w:r>
      <w:r>
        <w:rPr>
          <w:rFonts w:hint="eastAsia" w:ascii="仿宋_GB2312" w:hAnsi="仿宋_GB2312" w:eastAsia="仿宋_GB2312" w:cs="仿宋_GB2312"/>
          <w:b w:val="0"/>
          <w:bCs w:val="0"/>
          <w:color w:val="000000" w:themeColor="text1"/>
          <w:sz w:val="32"/>
          <w:szCs w:val="32"/>
          <w14:textFill>
            <w14:solidFill>
              <w14:schemeClr w14:val="tx1"/>
            </w14:solidFill>
          </w14:textFill>
        </w:rPr>
        <w:t>现有</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的湖南省东安县食品公司</w:t>
      </w:r>
      <w:r>
        <w:rPr>
          <w:rFonts w:hint="eastAsia" w:ascii="仿宋_GB2312" w:hAnsi="仿宋_GB2312" w:eastAsia="仿宋_GB2312" w:cs="仿宋_GB2312"/>
          <w:color w:val="000000" w:themeColor="text1"/>
          <w:sz w:val="32"/>
          <w:szCs w:val="32"/>
          <w14:textFill>
            <w14:solidFill>
              <w14:schemeClr w14:val="tx1"/>
            </w14:solidFill>
          </w14:textFill>
        </w:rPr>
        <w:t>将关停。</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根据</w:t>
      </w:r>
      <w:r>
        <w:rPr>
          <w:rFonts w:hint="eastAsia" w:ascii="仿宋" w:hAnsi="仿宋" w:eastAsia="仿宋" w:cs="仿宋"/>
          <w:sz w:val="32"/>
          <w:szCs w:val="32"/>
        </w:rPr>
        <w:t>湖南</w:t>
      </w:r>
      <w:r>
        <w:rPr>
          <w:rFonts w:hint="eastAsia" w:ascii="仿宋" w:hAnsi="仿宋" w:eastAsia="仿宋" w:cs="仿宋"/>
          <w:sz w:val="32"/>
          <w:szCs w:val="32"/>
          <w:lang w:val="en-US" w:eastAsia="zh-CN"/>
        </w:rPr>
        <w:t>振德环保</w:t>
      </w:r>
      <w:r>
        <w:rPr>
          <w:rFonts w:hint="eastAsia" w:ascii="仿宋" w:hAnsi="仿宋" w:eastAsia="仿宋" w:cs="仿宋"/>
          <w:sz w:val="32"/>
          <w:szCs w:val="32"/>
        </w:rPr>
        <w:t>科技有限公司</w:t>
      </w:r>
      <w:r>
        <w:rPr>
          <w:rFonts w:hint="eastAsia" w:ascii="仿宋_GB2312" w:hAnsi="仿宋_GB2312" w:eastAsia="仿宋_GB2312" w:cs="仿宋_GB2312"/>
          <w:color w:val="000000" w:themeColor="text1"/>
          <w:sz w:val="32"/>
          <w:szCs w:val="32"/>
          <w:lang w:eastAsia="zh-CN"/>
          <w14:textFill>
            <w14:solidFill>
              <w14:schemeClr w14:val="tx1"/>
            </w14:solidFill>
          </w14:textFill>
        </w:rPr>
        <w:t>编制的</w:t>
      </w:r>
      <w:r>
        <w:rPr>
          <w:rFonts w:hint="eastAsia" w:ascii="仿宋_GB2312" w:hAnsi="仿宋_GB2312" w:eastAsia="仿宋_GB2312" w:cs="仿宋_GB2312"/>
          <w:color w:val="000000" w:themeColor="text1"/>
          <w:sz w:val="32"/>
          <w:szCs w:val="32"/>
          <w14:textFill>
            <w14:solidFill>
              <w14:schemeClr w14:val="tx1"/>
            </w14:solidFill>
          </w14:textFill>
        </w:rPr>
        <w:t>环评报告书中的分析结论、专家评审意见</w:t>
      </w:r>
      <w:r>
        <w:rPr>
          <w:rFonts w:hint="eastAsia" w:ascii="仿宋_GB2312" w:hAnsi="仿宋_GB2312" w:eastAsia="仿宋_GB2312" w:cs="仿宋_GB2312"/>
          <w:color w:val="000000" w:themeColor="text1"/>
          <w:sz w:val="32"/>
          <w:szCs w:val="32"/>
          <w:lang w:eastAsia="zh-CN"/>
          <w14:textFill>
            <w14:solidFill>
              <w14:schemeClr w14:val="tx1"/>
            </w14:solidFill>
          </w14:textFill>
        </w:rPr>
        <w:t>、相关部门意见</w:t>
      </w:r>
      <w:r>
        <w:rPr>
          <w:rFonts w:hint="eastAsia" w:ascii="仿宋_GB2312" w:hAnsi="仿宋_GB2312" w:eastAsia="仿宋_GB2312" w:cs="仿宋_GB2312"/>
          <w:color w:val="000000" w:themeColor="text1"/>
          <w:sz w:val="32"/>
          <w:szCs w:val="32"/>
          <w14:textFill>
            <w14:solidFill>
              <w14:schemeClr w14:val="tx1"/>
            </w14:solidFill>
          </w14:textFill>
        </w:rPr>
        <w:t>和永州市生态环境局</w:t>
      </w:r>
      <w:r>
        <w:rPr>
          <w:rFonts w:hint="eastAsia" w:ascii="仿宋_GB2312" w:hAnsi="仿宋_GB2312" w:eastAsia="仿宋_GB2312" w:cs="仿宋_GB2312"/>
          <w:color w:val="000000" w:themeColor="text1"/>
          <w:sz w:val="32"/>
          <w:szCs w:val="32"/>
          <w:lang w:eastAsia="zh-CN"/>
          <w14:textFill>
            <w14:solidFill>
              <w14:schemeClr w14:val="tx1"/>
            </w14:solidFill>
          </w14:textFill>
        </w:rPr>
        <w:t>东安分局</w:t>
      </w:r>
      <w:r>
        <w:rPr>
          <w:rFonts w:hint="eastAsia" w:ascii="仿宋_GB2312" w:hAnsi="仿宋_GB2312" w:eastAsia="仿宋_GB2312" w:cs="仿宋_GB2312"/>
          <w:color w:val="000000" w:themeColor="text1"/>
          <w:sz w:val="32"/>
          <w:szCs w:val="32"/>
          <w14:textFill>
            <w14:solidFill>
              <w14:schemeClr w14:val="tx1"/>
            </w14:solidFill>
          </w14:textFill>
        </w:rPr>
        <w:t>预审意见，在建设单位严格落实环评报告书和本批复提出的各项环保要求和环境影响减缓措施、环境风险防范措施、确保污染物达标排放的前提下，依据《中华人民共和国环境影响评价法》第二十二条等规定，我局原则同意该项目按环境影响报告书所列工程的地点、性质、规模、工艺、环境保护措施进行建设。</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二</w:t>
      </w:r>
      <w:r>
        <w:rPr>
          <w:rFonts w:hint="eastAsia" w:ascii="仿宋_GB2312" w:hAnsi="仿宋_GB2312" w:eastAsia="仿宋_GB2312" w:cs="仿宋_GB2312"/>
          <w:color w:val="000000" w:themeColor="text1"/>
          <w:sz w:val="32"/>
          <w:szCs w:val="32"/>
          <w14:textFill>
            <w14:solidFill>
              <w14:schemeClr w14:val="tx1"/>
            </w14:solidFill>
          </w14:textFill>
        </w:rPr>
        <w:t>、建设单位在项目设计、建设和运行期间，必须全面落实环评报告书提出的各项污染防治和生态保护措施，并着重做好以下工作：</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000000" w:themeColor="text1"/>
          <w:sz w:val="32"/>
          <w:szCs w:val="32"/>
          <w14:textFill>
            <w14:solidFill>
              <w14:schemeClr w14:val="tx1"/>
            </w14:solidFill>
          </w14:textFill>
        </w:rPr>
        <w:t>1、相关政策要求。项目应采用国内外先进的生产工艺，所选用的设备应符合国家产业政策及质量安全要求，选用工艺成熟、可靠的污染防治技术和设备，确保各项污染物达标排放。严格限制项目厂址周边土地使用性质，对项目所在地周边区域进行合理规划控制，禁止在厂界周边防护距离内规划建设医院、学校、集中居民区、行政办公和科研单位等环境敏感目标。在发生实际排污行为前办理排污许可手续，在申领排污许可手续前获得主要污染物排污权指标</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项目建设场地内原东安县城市生活垃圾处置中心工程的拆除，应做好调查评估，制定专项拆除方案，做好各项污染防控措施。</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2、废水污染防治。按照“雨污分流、清污分流、污污分流”原则，建设厂区排水系统及废水处理设施，优化废水处理工艺和规模。生产废水须经自建污水处理站处理</w:t>
      </w:r>
      <w:r>
        <w:rPr>
          <w:rFonts w:hint="eastAsia" w:ascii="仿宋_GB2312" w:hAnsi="仿宋_GB2312" w:eastAsia="仿宋_GB2312" w:cs="仿宋_GB2312"/>
          <w:color w:val="000000" w:themeColor="text1"/>
          <w:sz w:val="32"/>
          <w:szCs w:val="32"/>
          <w:lang w:eastAsia="zh-CN"/>
          <w14:textFill>
            <w14:solidFill>
              <w14:schemeClr w14:val="tx1"/>
            </w14:solidFill>
          </w14:textFill>
        </w:rPr>
        <w:t>达</w:t>
      </w:r>
      <w:r>
        <w:rPr>
          <w:rFonts w:hint="eastAsia" w:ascii="仿宋_GB2312" w:hAnsi="仿宋_GB2312" w:eastAsia="仿宋_GB2312" w:cs="仿宋_GB2312"/>
          <w:color w:val="000000" w:themeColor="text1"/>
          <w:sz w:val="32"/>
          <w:szCs w:val="32"/>
          <w14:textFill>
            <w14:solidFill>
              <w14:schemeClr w14:val="tx1"/>
            </w14:solidFill>
          </w14:textFill>
        </w:rPr>
        <w:t>《肉类加工工业水污染排放标准》（GB13457-1992）表3中三级标准后</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再排入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东安县</w:t>
      </w:r>
      <w:r>
        <w:rPr>
          <w:rFonts w:hint="eastAsia" w:ascii="仿宋_GB2312" w:hAnsi="仿宋_GB2312" w:eastAsia="仿宋_GB2312" w:cs="仿宋_GB2312"/>
          <w:color w:val="000000" w:themeColor="text1"/>
          <w:sz w:val="32"/>
          <w:szCs w:val="32"/>
          <w14:textFill>
            <w14:solidFill>
              <w14:schemeClr w14:val="tx1"/>
            </w14:solidFill>
          </w14:textFill>
        </w:rPr>
        <w:t>污水处理厂深度处理；生活污水须经处理达到《污水综合排放标准》（GB8978-1996）三级标准后</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再排入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东安县</w:t>
      </w:r>
      <w:r>
        <w:rPr>
          <w:rFonts w:hint="eastAsia" w:ascii="仿宋_GB2312" w:hAnsi="仿宋_GB2312" w:eastAsia="仿宋_GB2312" w:cs="仿宋_GB2312"/>
          <w:color w:val="000000" w:themeColor="text1"/>
          <w:sz w:val="32"/>
          <w:szCs w:val="32"/>
          <w14:textFill>
            <w14:solidFill>
              <w14:schemeClr w14:val="tx1"/>
            </w14:solidFill>
          </w14:textFill>
        </w:rPr>
        <w:t>污水处理厂深度处理。废水排放口应规范化建设，按相关要求配套流量计和在线监控设施，并与生态环境部门联网。对项目可能影响地下水的区域应分区采取防渗防治措施，按规范设置监测点位，加强跟踪监测，确保厂区污水不对周边环境</w:t>
      </w:r>
      <w:r>
        <w:rPr>
          <w:rFonts w:hint="eastAsia" w:ascii="仿宋_GB2312" w:hAnsi="仿宋_GB2312" w:eastAsia="仿宋_GB2312" w:cs="仿宋_GB2312"/>
          <w:color w:val="000000" w:themeColor="text1"/>
          <w:sz w:val="32"/>
          <w:szCs w:val="32"/>
          <w:lang w:eastAsia="zh-CN"/>
          <w14:textFill>
            <w14:solidFill>
              <w14:schemeClr w14:val="tx1"/>
            </w14:solidFill>
          </w14:textFill>
        </w:rPr>
        <w:t>（特别是地下水）</w:t>
      </w:r>
      <w:r>
        <w:rPr>
          <w:rFonts w:hint="eastAsia" w:ascii="仿宋_GB2312" w:hAnsi="仿宋_GB2312" w:eastAsia="仿宋_GB2312" w:cs="仿宋_GB2312"/>
          <w:color w:val="000000" w:themeColor="text1"/>
          <w:sz w:val="32"/>
          <w:szCs w:val="32"/>
          <w14:textFill>
            <w14:solidFill>
              <w14:schemeClr w14:val="tx1"/>
            </w14:solidFill>
          </w14:textFill>
        </w:rPr>
        <w:t>产生污染。</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3、废气污染防治。加强各环节废气污染防治，确保大气污染物达标排放并符合主要污染物排放总量控制标准。施工期通过采取设置车辆冲洗平台、定期洒水、覆盖等措施减少粉尘、扬尘的产生。营运期</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生猪</w:t>
      </w:r>
      <w:r>
        <w:rPr>
          <w:rFonts w:hint="eastAsia" w:ascii="仿宋_GB2312" w:hAnsi="仿宋_GB2312" w:eastAsia="仿宋_GB2312" w:cs="仿宋_GB2312"/>
          <w:color w:val="000000" w:themeColor="text1"/>
          <w:sz w:val="32"/>
          <w:szCs w:val="32"/>
          <w14:textFill>
            <w14:solidFill>
              <w14:schemeClr w14:val="tx1"/>
            </w14:solidFill>
          </w14:textFill>
        </w:rPr>
        <w:t>屠宰车间、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牛羊</w:t>
      </w:r>
      <w:r>
        <w:rPr>
          <w:rFonts w:hint="eastAsia" w:ascii="仿宋_GB2312" w:hAnsi="仿宋_GB2312" w:eastAsia="仿宋_GB2312" w:cs="仿宋_GB2312"/>
          <w:color w:val="000000" w:themeColor="text1"/>
          <w:sz w:val="32"/>
          <w:szCs w:val="32"/>
          <w14:textFill>
            <w14:solidFill>
              <w14:schemeClr w14:val="tx1"/>
            </w14:solidFill>
          </w14:textFill>
        </w:rPr>
        <w:t>屠宰车间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、鸡鸭</w:t>
      </w:r>
      <w:r>
        <w:rPr>
          <w:rFonts w:hint="eastAsia" w:ascii="仿宋_GB2312" w:hAnsi="仿宋_GB2312" w:eastAsia="仿宋_GB2312" w:cs="仿宋_GB2312"/>
          <w:color w:val="000000" w:themeColor="text1"/>
          <w:sz w:val="32"/>
          <w:szCs w:val="32"/>
          <w14:textFill>
            <w14:solidFill>
              <w14:schemeClr w14:val="tx1"/>
            </w14:solidFill>
          </w14:textFill>
        </w:rPr>
        <w:t>屠宰车间</w:t>
      </w:r>
      <w:r>
        <w:rPr>
          <w:rFonts w:hint="eastAsia" w:ascii="仿宋_GB2312" w:hAnsi="仿宋_GB2312" w:eastAsia="仿宋_GB2312" w:cs="仿宋_GB2312"/>
          <w:color w:val="000000" w:themeColor="text1"/>
          <w:sz w:val="32"/>
          <w:szCs w:val="32"/>
          <w:lang w:eastAsia="zh-CN"/>
          <w14:textFill>
            <w14:solidFill>
              <w14:schemeClr w14:val="tx1"/>
            </w14:solidFill>
          </w14:textFill>
        </w:rPr>
        <w:t>废气</w:t>
      </w:r>
      <w:r>
        <w:rPr>
          <w:rFonts w:hint="eastAsia" w:ascii="仿宋_GB2312" w:hAnsi="仿宋_GB2312" w:eastAsia="仿宋_GB2312" w:cs="仿宋_GB2312"/>
          <w:color w:val="000000" w:themeColor="text1"/>
          <w:sz w:val="32"/>
          <w:szCs w:val="32"/>
          <w14:textFill>
            <w14:solidFill>
              <w14:schemeClr w14:val="tx1"/>
            </w14:solidFill>
          </w14:textFill>
        </w:rPr>
        <w:t>分别经</w:t>
      </w:r>
      <w:r>
        <w:rPr>
          <w:rFonts w:hint="eastAsia" w:ascii="仿宋_GB2312" w:hAnsi="仿宋_GB2312" w:eastAsia="仿宋_GB2312" w:cs="仿宋_GB2312"/>
          <w:color w:val="000000" w:themeColor="text1"/>
          <w:sz w:val="32"/>
          <w:szCs w:val="32"/>
          <w:lang w:eastAsia="zh-CN"/>
          <w14:textFill>
            <w14:solidFill>
              <w14:schemeClr w14:val="tx1"/>
            </w14:solidFill>
          </w14:textFill>
        </w:rPr>
        <w:t>局部</w:t>
      </w:r>
      <w:r>
        <w:rPr>
          <w:rFonts w:hint="eastAsia" w:ascii="仿宋_GB2312" w:hAnsi="仿宋_GB2312" w:eastAsia="仿宋_GB2312" w:cs="仿宋_GB2312"/>
          <w:color w:val="000000" w:themeColor="text1"/>
          <w:sz w:val="32"/>
          <w:szCs w:val="32"/>
          <w14:textFill>
            <w14:solidFill>
              <w14:schemeClr w14:val="tx1"/>
            </w14:solidFill>
          </w14:textFill>
        </w:rPr>
        <w:t>负压收集+生物除臭系统处理达《恶臭污染物排放标准》（GB14554-93）相关标准后经15m高排气筒排放</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污水处理站废气经池体密闭+负压收集后，与无害化处理产生的废气一并经生物除臭系统处理达《大气污染物综合排放标准》（GB16297-1996）、</w:t>
      </w:r>
      <w:r>
        <w:rPr>
          <w:rFonts w:hint="eastAsia" w:ascii="仿宋_GB2312" w:hAnsi="仿宋_GB2312" w:eastAsia="仿宋_GB2312" w:cs="仿宋_GB2312"/>
          <w:color w:val="000000" w:themeColor="text1"/>
          <w:sz w:val="32"/>
          <w:szCs w:val="32"/>
          <w14:textFill>
            <w14:solidFill>
              <w14:schemeClr w14:val="tx1"/>
            </w14:solidFill>
          </w14:textFill>
        </w:rPr>
        <w:t>《恶臭污染物排放标准》（GB14554-93）相关标准后经15m高排气筒排放；</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生物质</w:t>
      </w:r>
      <w:r>
        <w:rPr>
          <w:rFonts w:hint="eastAsia" w:ascii="仿宋_GB2312" w:hAnsi="仿宋_GB2312" w:eastAsia="仿宋_GB2312" w:cs="仿宋_GB2312"/>
          <w:color w:val="000000" w:themeColor="text1"/>
          <w:sz w:val="32"/>
          <w:szCs w:val="32"/>
          <w14:textFill>
            <w14:solidFill>
              <w14:schemeClr w14:val="tx1"/>
            </w14:solidFill>
          </w14:textFill>
        </w:rPr>
        <w:t>锅炉</w:t>
      </w:r>
      <w:r>
        <w:rPr>
          <w:rFonts w:hint="eastAsia" w:ascii="仿宋_GB2312" w:hAnsi="仿宋_GB2312" w:eastAsia="仿宋_GB2312" w:cs="仿宋_GB2312"/>
          <w:color w:val="000000" w:themeColor="text1"/>
          <w:sz w:val="32"/>
          <w:szCs w:val="32"/>
          <w:lang w:eastAsia="zh-CN"/>
          <w14:textFill>
            <w14:solidFill>
              <w14:schemeClr w14:val="tx1"/>
            </w14:solidFill>
          </w14:textFill>
        </w:rPr>
        <w:t>废</w:t>
      </w:r>
      <w:r>
        <w:rPr>
          <w:rFonts w:hint="eastAsia" w:ascii="仿宋_GB2312" w:hAnsi="仿宋_GB2312" w:eastAsia="仿宋_GB2312" w:cs="仿宋_GB2312"/>
          <w:color w:val="000000" w:themeColor="text1"/>
          <w:sz w:val="32"/>
          <w:szCs w:val="32"/>
          <w14:textFill>
            <w14:solidFill>
              <w14:schemeClr w14:val="tx1"/>
            </w14:solidFill>
          </w14:textFill>
        </w:rPr>
        <w:t>气经</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布袋除尘器</w:t>
      </w:r>
      <w:r>
        <w:rPr>
          <w:rFonts w:hint="eastAsia" w:ascii="仿宋_GB2312" w:hAnsi="仿宋_GB2312" w:eastAsia="仿宋_GB2312" w:cs="仿宋_GB2312"/>
          <w:color w:val="000000" w:themeColor="text1"/>
          <w:sz w:val="32"/>
          <w:szCs w:val="32"/>
          <w14:textFill>
            <w14:solidFill>
              <w14:schemeClr w14:val="tx1"/>
            </w14:solidFill>
          </w14:textFill>
        </w:rPr>
        <w:t>处理后满足《锅炉大气污染物排放标准》（GB13271-2014）相应标准后经</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30</w:t>
      </w:r>
      <w:r>
        <w:rPr>
          <w:rFonts w:hint="eastAsia" w:ascii="仿宋_GB2312" w:hAnsi="仿宋_GB2312" w:eastAsia="仿宋_GB2312" w:cs="仿宋_GB2312"/>
          <w:color w:val="000000" w:themeColor="text1"/>
          <w:sz w:val="32"/>
          <w:szCs w:val="32"/>
          <w14:textFill>
            <w14:solidFill>
              <w14:schemeClr w14:val="tx1"/>
            </w14:solidFill>
          </w14:textFill>
        </w:rPr>
        <w:t>m高排气筒排放</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各</w:t>
      </w:r>
      <w:r>
        <w:rPr>
          <w:rFonts w:hint="eastAsia" w:ascii="仿宋_GB2312" w:hAnsi="仿宋_GB2312" w:eastAsia="仿宋_GB2312" w:cs="仿宋_GB2312"/>
          <w:color w:val="000000" w:themeColor="text1"/>
          <w:sz w:val="32"/>
          <w:szCs w:val="32"/>
          <w14:textFill>
            <w14:solidFill>
              <w14:schemeClr w14:val="tx1"/>
            </w14:solidFill>
          </w14:textFill>
        </w:rPr>
        <w:t>屠宰车间、畜禽存放区</w:t>
      </w:r>
      <w:r>
        <w:rPr>
          <w:rFonts w:hint="eastAsia" w:ascii="仿宋_GB2312" w:hAnsi="仿宋_GB2312" w:eastAsia="仿宋_GB2312" w:cs="仿宋_GB2312"/>
          <w:color w:val="000000" w:themeColor="text1"/>
          <w:sz w:val="32"/>
          <w:szCs w:val="32"/>
          <w:lang w:eastAsia="zh-CN"/>
          <w14:textFill>
            <w14:solidFill>
              <w14:schemeClr w14:val="tx1"/>
            </w14:solidFill>
          </w14:textFill>
        </w:rPr>
        <w:t>、污水处理站</w:t>
      </w:r>
      <w:r>
        <w:rPr>
          <w:rFonts w:hint="eastAsia" w:ascii="仿宋_GB2312" w:hAnsi="仿宋_GB2312" w:eastAsia="仿宋_GB2312" w:cs="仿宋_GB2312"/>
          <w:color w:val="000000" w:themeColor="text1"/>
          <w:sz w:val="32"/>
          <w:szCs w:val="32"/>
          <w14:textFill>
            <w14:solidFill>
              <w14:schemeClr w14:val="tx1"/>
            </w14:solidFill>
          </w14:textFill>
        </w:rPr>
        <w:t>等应采取喷洒除臭液等措施进行除臭处理，临时堆粪场所密闭</w:t>
      </w:r>
      <w:r>
        <w:rPr>
          <w:rFonts w:hint="eastAsia" w:ascii="仿宋_GB2312" w:hAnsi="仿宋_GB2312" w:eastAsia="仿宋_GB2312" w:cs="仿宋_GB2312"/>
          <w:color w:val="000000" w:themeColor="text1"/>
          <w:sz w:val="32"/>
          <w:szCs w:val="32"/>
          <w:lang w:eastAsia="zh-CN"/>
          <w14:textFill>
            <w14:solidFill>
              <w14:schemeClr w14:val="tx1"/>
            </w14:solidFill>
          </w14:textFill>
        </w:rPr>
        <w:t>、日产日清</w:t>
      </w:r>
      <w:r>
        <w:rPr>
          <w:rFonts w:hint="eastAsia" w:ascii="仿宋_GB2312" w:hAnsi="仿宋_GB2312" w:eastAsia="仿宋_GB2312" w:cs="仿宋_GB2312"/>
          <w:color w:val="000000" w:themeColor="text1"/>
          <w:sz w:val="32"/>
          <w:szCs w:val="32"/>
          <w14:textFill>
            <w14:solidFill>
              <w14:schemeClr w14:val="tx1"/>
            </w14:solidFill>
          </w14:textFill>
        </w:rPr>
        <w:t>并消毒除臭，恶臭污染物无组织排放满足《恶臭污染物排放标准》（GB14554-93）相应标准；备用发电机尾气排放执行执行《大气污染物综合排放标准》（GB16297-1996）</w:t>
      </w:r>
      <w:r>
        <w:rPr>
          <w:rFonts w:hint="eastAsia" w:ascii="仿宋_GB2312" w:hAnsi="仿宋_GB2312" w:eastAsia="仿宋_GB2312" w:cs="仿宋_GB2312"/>
          <w:color w:val="000000" w:themeColor="text1"/>
          <w:sz w:val="32"/>
          <w:szCs w:val="32"/>
          <w:lang w:eastAsia="zh-CN"/>
          <w14:textFill>
            <w14:solidFill>
              <w14:schemeClr w14:val="tx1"/>
            </w14:solidFill>
          </w14:textFill>
        </w:rPr>
        <w:t>相应标准；</w:t>
      </w:r>
      <w:r>
        <w:rPr>
          <w:rFonts w:hint="eastAsia" w:ascii="仿宋_GB2312" w:hAnsi="仿宋_GB2312" w:eastAsia="仿宋_GB2312" w:cs="仿宋_GB2312"/>
          <w:color w:val="000000" w:themeColor="text1"/>
          <w:sz w:val="32"/>
          <w:szCs w:val="32"/>
          <w14:textFill>
            <w14:solidFill>
              <w14:schemeClr w14:val="tx1"/>
            </w14:solidFill>
          </w14:textFill>
        </w:rPr>
        <w:t>食堂油烟经油烟净化设施处理，满足《饮食业油烟排放标准》（GB18483-2001）排放标准。</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4、噪声污染防治。优化设备选型，合理布置高噪声设备并采取隔声、消声、减振措施，加强待宰区畜禽的管理，确保厂界噪声达到《工业企业厂界环境噪声排放标准》相应标准。</w:t>
      </w:r>
    </w:p>
    <w:p>
      <w:pPr>
        <w:keepNext w:val="0"/>
        <w:keepLines w:val="0"/>
        <w:widowControl/>
        <w:suppressLineNumbers w:val="0"/>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5、固体废物处置。按照“减量化、资源化、无害化”原则，对固体废物进行分类收集、处理和处置，并确保不造成二次污染。按照分类收集和综合利用的原则，妥善处理处置各类固体废物，防止造成二次污染。一般工业固体废物在厂内暂存应符合《一般工业固体废物贮存和填埋污染控制标准》（GB18599-2020）的要求，屠宰全过程中产生的固废要及时清运处置。危险废物执行《危险废物贮存污染控制标准》（GB18597-2023）要求，病死牲畜、不合格胴体、不可使用内脏</w:t>
      </w:r>
      <w:r>
        <w:rPr>
          <w:rFonts w:hint="eastAsia" w:ascii="仿宋_GB2312" w:hAnsi="仿宋_GB2312" w:eastAsia="仿宋_GB2312" w:cs="仿宋_GB2312"/>
          <w:color w:val="000000" w:themeColor="text1"/>
          <w:sz w:val="32"/>
          <w:szCs w:val="32"/>
          <w:lang w:eastAsia="zh-CN"/>
          <w14:textFill>
            <w14:solidFill>
              <w14:schemeClr w14:val="tx1"/>
            </w14:solidFill>
          </w14:textFill>
        </w:rPr>
        <w:t>等</w:t>
      </w:r>
      <w:r>
        <w:rPr>
          <w:rFonts w:hint="eastAsia" w:ascii="仿宋_GB2312" w:hAnsi="仿宋_GB2312" w:eastAsia="仿宋_GB2312" w:cs="仿宋_GB2312"/>
          <w:color w:val="000000" w:themeColor="text1"/>
          <w:sz w:val="32"/>
          <w:szCs w:val="32"/>
          <w14:textFill>
            <w14:solidFill>
              <w14:schemeClr w14:val="tx1"/>
            </w14:solidFill>
          </w14:textFill>
        </w:rPr>
        <w:t>送至厂区无害化处理间经高温高压专用化制罐化制处理</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无害化处理设施设备及管理均应符合</w:t>
      </w:r>
      <w:r>
        <w:rPr>
          <w:rFonts w:hint="eastAsia" w:ascii="仿宋_GB2312" w:hAnsi="仿宋_GB2312" w:eastAsia="仿宋_GB2312" w:cs="仿宋_GB2312"/>
          <w:color w:val="000000" w:themeColor="text1"/>
          <w:sz w:val="32"/>
          <w:szCs w:val="32"/>
          <w:lang w:eastAsia="zh-CN"/>
          <w14:textFill>
            <w14:solidFill>
              <w14:schemeClr w14:val="tx1"/>
            </w14:solidFill>
          </w14:textFill>
        </w:rPr>
        <w:t>《动物防疫条件审查办法》、《</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病死畜禽和病害畜禽产品无害化处理管理办法</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病死及病害动物无害化处理技术规范</w:t>
      </w:r>
      <w:r>
        <w:rPr>
          <w:rFonts w:hint="eastAsia" w:ascii="仿宋_GB2312" w:hAnsi="仿宋_GB2312" w:eastAsia="仿宋_GB2312" w:cs="仿宋_GB2312"/>
          <w:color w:val="000000" w:themeColor="text1"/>
          <w:sz w:val="32"/>
          <w:szCs w:val="32"/>
          <w:lang w:eastAsia="zh-CN"/>
          <w14:textFill>
            <w14:solidFill>
              <w14:schemeClr w14:val="tx1"/>
            </w14:solidFill>
          </w14:textFill>
        </w:rPr>
        <w:t>》等</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相关要求</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6、环境风险防范。加强环境风险管理及项目安全生产检查，制定环境风险应急预案及防范措施，提高事故风险防范和污染控制能力，对事故隐患做到及早发现，及时处理，确保区域环境安全。科学布设预警设施、事故应急设施（物料泄漏截流设施、风险事故池等），配套拦污、切换等处理设施，防止非正常工况和事故状态下环境风险排放。</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7、严格履行建设单位环保主体责任。建立健全环保规章制度和岗位责任制，配备专职环保管理人员；加强生产台账和环保台账的登记管理，做到有据可查；定期对污染防治设施进行检查和维修，确保环保设施稳定正常运行和污染物稳定达标排放，避免因管理不善、违章操作等人为因素造成污染事故和纠纷。</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color w:val="000000" w:themeColor="text1"/>
          <w:sz w:val="32"/>
          <w:szCs w:val="32"/>
          <w:lang w:val="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8、</w:t>
      </w:r>
      <w:r>
        <w:rPr>
          <w:rFonts w:hint="eastAsia" w:ascii="仿宋_GB2312" w:hAnsi="仿宋_GB2312" w:eastAsia="仿宋_GB2312" w:cs="仿宋_GB2312"/>
          <w:color w:val="000000" w:themeColor="text1"/>
          <w:sz w:val="32"/>
          <w:szCs w:val="32"/>
          <w:lang w:val="zh-CN"/>
          <w14:textFill>
            <w14:solidFill>
              <w14:schemeClr w14:val="tx1"/>
            </w14:solidFill>
          </w14:textFill>
        </w:rPr>
        <w:t>维护社会稳定。加强对项目附近环境敏感点的环境保护，处理好与周边的关系，防止因环保诉求而引发矛盾，自觉维护社会稳定。</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9、</w:t>
      </w:r>
      <w:r>
        <w:rPr>
          <w:rFonts w:hint="eastAsia" w:ascii="仿宋_GB2312" w:hAnsi="仿宋_GB2312" w:eastAsia="仿宋_GB2312" w:cs="仿宋_GB2312"/>
          <w:bCs/>
          <w:color w:val="000000" w:themeColor="text1"/>
          <w:sz w:val="32"/>
          <w:szCs w:val="32"/>
          <w:lang w:val="zh-CN"/>
          <w14:textFill>
            <w14:solidFill>
              <w14:schemeClr w14:val="tx1"/>
            </w14:solidFill>
          </w14:textFill>
        </w:rPr>
        <w:t>总量控制指标。</w:t>
      </w:r>
      <w:r>
        <w:rPr>
          <w:rFonts w:hint="eastAsia" w:ascii="仿宋_GB2312" w:hAnsi="仿宋_GB2312" w:eastAsia="仿宋_GB2312" w:cs="仿宋_GB2312"/>
          <w:bCs/>
          <w:color w:val="000000" w:themeColor="text1"/>
          <w:sz w:val="32"/>
          <w:szCs w:val="32"/>
          <w14:textFill>
            <w14:solidFill>
              <w14:schemeClr w14:val="tx1"/>
            </w14:solidFill>
          </w14:textFill>
        </w:rPr>
        <w:t>根据环评报告和专家意见，确定本项目污染总量控制指标为：化</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学</w:t>
      </w:r>
      <w:r>
        <w:rPr>
          <w:rFonts w:hint="eastAsia" w:ascii="仿宋_GB2312" w:hAnsi="仿宋_GB2312" w:eastAsia="仿宋_GB2312" w:cs="仿宋_GB2312"/>
          <w:bCs/>
          <w:color w:val="000000" w:themeColor="text1"/>
          <w:sz w:val="32"/>
          <w:szCs w:val="32"/>
          <w14:textFill>
            <w14:solidFill>
              <w14:schemeClr w14:val="tx1"/>
            </w14:solidFill>
          </w14:textFill>
        </w:rPr>
        <w:t>需氧量≤18.</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05</w:t>
      </w:r>
      <w:r>
        <w:rPr>
          <w:rFonts w:hint="eastAsia" w:ascii="仿宋_GB2312" w:hAnsi="仿宋_GB2312" w:eastAsia="仿宋_GB2312" w:cs="仿宋_GB2312"/>
          <w:bCs/>
          <w:color w:val="000000" w:themeColor="text1"/>
          <w:sz w:val="32"/>
          <w:szCs w:val="32"/>
          <w14:textFill>
            <w14:solidFill>
              <w14:schemeClr w14:val="tx1"/>
            </w14:solidFill>
          </w14:textFill>
        </w:rPr>
        <w:t>t/a，氨氮≤1.8</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05</w:t>
      </w:r>
      <w:r>
        <w:rPr>
          <w:rFonts w:hint="eastAsia" w:ascii="仿宋_GB2312" w:hAnsi="仿宋_GB2312" w:eastAsia="仿宋_GB2312" w:cs="仿宋_GB2312"/>
          <w:bCs/>
          <w:color w:val="000000" w:themeColor="text1"/>
          <w:sz w:val="32"/>
          <w:szCs w:val="32"/>
          <w14:textFill>
            <w14:solidFill>
              <w14:schemeClr w14:val="tx1"/>
            </w14:solidFill>
          </w14:textFill>
        </w:rPr>
        <w:t>t/a，总磷≤0.</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361</w:t>
      </w:r>
      <w:r>
        <w:rPr>
          <w:rFonts w:hint="eastAsia" w:ascii="仿宋_GB2312" w:hAnsi="仿宋_GB2312" w:eastAsia="仿宋_GB2312" w:cs="仿宋_GB2312"/>
          <w:bCs/>
          <w:color w:val="000000" w:themeColor="text1"/>
          <w:sz w:val="32"/>
          <w:szCs w:val="32"/>
          <w14:textFill>
            <w14:solidFill>
              <w14:schemeClr w14:val="tx1"/>
            </w14:solidFill>
          </w14:textFill>
        </w:rPr>
        <w:t>t/a，二氧化硫≤</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0.587</w:t>
      </w:r>
      <w:r>
        <w:rPr>
          <w:rFonts w:hint="eastAsia" w:ascii="仿宋_GB2312" w:hAnsi="仿宋_GB2312" w:eastAsia="仿宋_GB2312" w:cs="仿宋_GB2312"/>
          <w:bCs/>
          <w:color w:val="000000" w:themeColor="text1"/>
          <w:sz w:val="32"/>
          <w:szCs w:val="32"/>
          <w14:textFill>
            <w14:solidFill>
              <w14:schemeClr w14:val="tx1"/>
            </w14:solidFill>
          </w14:textFill>
        </w:rPr>
        <w:t>t/a，氮氧化物≤</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1.761</w:t>
      </w:r>
      <w:r>
        <w:rPr>
          <w:rFonts w:hint="eastAsia" w:ascii="仿宋_GB2312" w:hAnsi="仿宋_GB2312" w:eastAsia="仿宋_GB2312" w:cs="仿宋_GB2312"/>
          <w:bCs/>
          <w:color w:val="000000" w:themeColor="text1"/>
          <w:sz w:val="32"/>
          <w:szCs w:val="32"/>
          <w14:textFill>
            <w14:solidFill>
              <w14:schemeClr w14:val="tx1"/>
            </w14:solidFill>
          </w14:textFill>
        </w:rPr>
        <w:t>t/a。</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四、落实环境监测计划，做好施工期环境管理工作。按环评报告书提出的环境管理与监测计划实施项目日常环境管理与监测</w:t>
      </w:r>
      <w:r>
        <w:rPr>
          <w:rFonts w:hint="eastAsia" w:ascii="仿宋_GB2312" w:hAnsi="仿宋_GB2312" w:eastAsia="仿宋_GB2312" w:cs="仿宋_GB2312"/>
          <w:color w:val="000000" w:themeColor="text1"/>
          <w:kern w:val="32"/>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项目建设必须严格执行环境保护“三同时”制度，项目建成后应按规定程序实施竣工环境保护验收。</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五、项目环境影响评价报告书经批复后，项目的性质、规模、地点、采用的生产工艺或者防治污染、防止生态破坏的措施发生重大变动的，建设单位应当依法重新报批建设项目的环境影响评价文件。自项目环境影响评价报告书批复之日起，超过五年方决定开工建设的，环境影响评价文件应当重新</w:t>
      </w:r>
      <w:r>
        <w:rPr>
          <w:rFonts w:hint="eastAsia" w:ascii="仿宋_GB2312" w:hAnsi="仿宋_GB2312" w:eastAsia="仿宋_GB2312" w:cs="仿宋_GB2312"/>
          <w:color w:val="000000" w:themeColor="text1"/>
          <w:sz w:val="32"/>
          <w:szCs w:val="32"/>
          <w:lang w:eastAsia="zh-CN"/>
          <w14:textFill>
            <w14:solidFill>
              <w14:schemeClr w14:val="tx1"/>
            </w14:solidFill>
          </w14:textFill>
        </w:rPr>
        <w:t>报我局</w:t>
      </w:r>
      <w:r>
        <w:rPr>
          <w:rFonts w:hint="eastAsia" w:ascii="仿宋_GB2312" w:hAnsi="仿宋_GB2312" w:eastAsia="仿宋_GB2312" w:cs="仿宋_GB2312"/>
          <w:color w:val="000000" w:themeColor="text1"/>
          <w:sz w:val="32"/>
          <w:szCs w:val="32"/>
          <w14:textFill>
            <w14:solidFill>
              <w14:schemeClr w14:val="tx1"/>
            </w14:solidFill>
          </w14:textFill>
        </w:rPr>
        <w:t>审核。</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六、项目在环保申报过程中不得隐情不报，如有瞒报、谎报属违法行为，建设单位将承担由此产生的一切后果。</w:t>
      </w:r>
      <w:r>
        <w:rPr>
          <w:rFonts w:hint="eastAsia" w:ascii="仿宋_GB2312" w:hAnsi="仿宋_GB2312" w:eastAsia="仿宋_GB2312" w:cs="仿宋_GB2312"/>
          <w:color w:val="000000" w:themeColor="text1"/>
          <w:kern w:val="32"/>
          <w:sz w:val="32"/>
          <w:szCs w:val="32"/>
          <w14:textFill>
            <w14:solidFill>
              <w14:schemeClr w14:val="tx1"/>
            </w14:solidFill>
          </w14:textFill>
        </w:rPr>
        <w:t>本批复、</w:t>
      </w:r>
      <w:r>
        <w:rPr>
          <w:rFonts w:hint="eastAsia" w:ascii="仿宋_GB2312" w:hAnsi="仿宋_GB2312" w:eastAsia="仿宋_GB2312" w:cs="仿宋_GB2312"/>
          <w:color w:val="000000" w:themeColor="text1"/>
          <w:sz w:val="32"/>
          <w:szCs w:val="32"/>
          <w14:textFill>
            <w14:solidFill>
              <w14:schemeClr w14:val="tx1"/>
            </w14:solidFill>
          </w14:textFill>
        </w:rPr>
        <w:t>环评报告书</w:t>
      </w:r>
      <w:r>
        <w:rPr>
          <w:rFonts w:hint="eastAsia" w:ascii="仿宋_GB2312" w:hAnsi="仿宋_GB2312" w:eastAsia="仿宋_GB2312" w:cs="仿宋_GB2312"/>
          <w:color w:val="000000" w:themeColor="text1"/>
          <w:kern w:val="32"/>
          <w:sz w:val="32"/>
          <w:szCs w:val="32"/>
          <w14:textFill>
            <w14:solidFill>
              <w14:schemeClr w14:val="tx1"/>
            </w14:solidFill>
          </w14:textFill>
        </w:rPr>
        <w:t>及有关附件是该项目环评审批的法律文件，</w:t>
      </w:r>
      <w:r>
        <w:rPr>
          <w:rFonts w:hint="eastAsia" w:ascii="仿宋_GB2312" w:hAnsi="仿宋_GB2312" w:eastAsia="仿宋_GB2312" w:cs="仿宋_GB2312"/>
          <w:color w:val="000000" w:themeColor="text1"/>
          <w:sz w:val="32"/>
          <w:szCs w:val="32"/>
          <w14:textFill>
            <w14:solidFill>
              <w14:schemeClr w14:val="tx1"/>
            </w14:solidFill>
          </w14:textFill>
        </w:rPr>
        <w:t>各项内容必须严格执行，建设单位如有违反，将依法追究法律责任。</w:t>
      </w:r>
    </w:p>
    <w:p>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七、</w:t>
      </w:r>
      <w:r>
        <w:rPr>
          <w:rFonts w:hint="eastAsia" w:ascii="仿宋_GB2312" w:hAnsi="仿宋_GB2312" w:eastAsia="仿宋_GB2312" w:cs="仿宋_GB2312"/>
          <w:color w:val="auto"/>
          <w:sz w:val="32"/>
          <w:szCs w:val="32"/>
        </w:rPr>
        <w:t>你公司应在收到本批复后10个工作日内，将批复及批准的环境影响报告</w:t>
      </w:r>
      <w:r>
        <w:rPr>
          <w:rFonts w:hint="eastAsia" w:ascii="仿宋_GB2312" w:hAnsi="仿宋_GB2312" w:eastAsia="仿宋_GB2312" w:cs="仿宋_GB2312"/>
          <w:color w:val="auto"/>
          <w:sz w:val="32"/>
          <w:szCs w:val="32"/>
          <w:lang w:eastAsia="zh-CN"/>
        </w:rPr>
        <w:t>书</w:t>
      </w:r>
      <w:r>
        <w:rPr>
          <w:rFonts w:hint="eastAsia" w:ascii="仿宋_GB2312" w:hAnsi="仿宋_GB2312" w:eastAsia="仿宋_GB2312" w:cs="仿宋_GB2312"/>
          <w:color w:val="auto"/>
          <w:sz w:val="32"/>
          <w:szCs w:val="32"/>
        </w:rPr>
        <w:t>送</w:t>
      </w:r>
      <w:r>
        <w:rPr>
          <w:rFonts w:hint="eastAsia" w:ascii="仿宋_GB2312" w:hAnsi="仿宋_GB2312" w:eastAsia="仿宋_GB2312" w:cs="仿宋_GB2312"/>
          <w:color w:val="auto"/>
          <w:sz w:val="32"/>
          <w:szCs w:val="32"/>
          <w:lang w:eastAsia="zh-CN"/>
        </w:rPr>
        <w:t>东安县</w:t>
      </w:r>
      <w:r>
        <w:rPr>
          <w:rFonts w:hint="eastAsia" w:ascii="仿宋_GB2312" w:hAnsi="仿宋_GB2312" w:eastAsia="仿宋_GB2312" w:cs="仿宋_GB2312"/>
          <w:color w:val="auto"/>
          <w:sz w:val="32"/>
          <w:szCs w:val="32"/>
        </w:rPr>
        <w:t>人民政府、永州市生态环境局</w:t>
      </w:r>
      <w:r>
        <w:rPr>
          <w:rFonts w:hint="eastAsia" w:ascii="仿宋_GB2312" w:hAnsi="仿宋_GB2312" w:eastAsia="仿宋_GB2312" w:cs="仿宋_GB2312"/>
          <w:color w:val="auto"/>
          <w:sz w:val="32"/>
          <w:szCs w:val="32"/>
          <w:lang w:val="en-US" w:eastAsia="zh-CN"/>
        </w:rPr>
        <w:t>东安</w:t>
      </w:r>
      <w:r>
        <w:rPr>
          <w:rFonts w:hint="eastAsia" w:ascii="仿宋_GB2312" w:hAnsi="仿宋_GB2312" w:eastAsia="仿宋_GB2312" w:cs="仿宋_GB2312"/>
          <w:color w:val="auto"/>
          <w:sz w:val="32"/>
          <w:szCs w:val="32"/>
        </w:rPr>
        <w:t>分局。</w:t>
      </w:r>
      <w:r>
        <w:rPr>
          <w:rFonts w:hint="eastAsia" w:ascii="仿宋_GB2312" w:hAnsi="仿宋_GB2312" w:eastAsia="仿宋_GB2312" w:cs="仿宋_GB2312"/>
          <w:color w:val="auto"/>
          <w:sz w:val="32"/>
          <w:szCs w:val="32"/>
          <w:lang w:val="en-US" w:eastAsia="zh-CN"/>
        </w:rPr>
        <w:t>东安县</w:t>
      </w:r>
      <w:r>
        <w:rPr>
          <w:rFonts w:hint="eastAsia" w:ascii="仿宋_GB2312" w:hAnsi="仿宋_GB2312" w:eastAsia="仿宋_GB2312" w:cs="仿宋_GB2312"/>
          <w:color w:val="auto"/>
          <w:sz w:val="32"/>
          <w:szCs w:val="32"/>
        </w:rPr>
        <w:t>人民政府</w:t>
      </w:r>
      <w:r>
        <w:rPr>
          <w:rFonts w:hint="eastAsia" w:ascii="仿宋_GB2312" w:hAnsi="仿宋_GB2312" w:eastAsia="仿宋_GB2312" w:cs="仿宋_GB2312"/>
          <w:color w:val="auto"/>
          <w:sz w:val="32"/>
          <w:szCs w:val="32"/>
          <w:lang w:val="en-US" w:eastAsia="zh-CN"/>
        </w:rPr>
        <w:t>应</w:t>
      </w:r>
      <w:r>
        <w:rPr>
          <w:rFonts w:hint="eastAsia" w:ascii="仿宋_GB2312" w:hAnsi="仿宋_GB2312" w:eastAsia="仿宋_GB2312" w:cs="仿宋_GB2312"/>
          <w:color w:val="auto"/>
          <w:sz w:val="32"/>
          <w:szCs w:val="32"/>
        </w:rPr>
        <w:t>履行好生态环境保护属地管理职责，加强项目周边区域管控。项目建设环保“三同时”执行落实情况的监督检查和日常环境管理由永州市生态环境局</w:t>
      </w:r>
      <w:r>
        <w:rPr>
          <w:rFonts w:hint="eastAsia" w:ascii="仿宋_GB2312" w:hAnsi="仿宋_GB2312" w:eastAsia="仿宋_GB2312" w:cs="仿宋_GB2312"/>
          <w:color w:val="auto"/>
          <w:sz w:val="32"/>
          <w:szCs w:val="32"/>
          <w:lang w:val="en-US" w:eastAsia="zh-CN"/>
        </w:rPr>
        <w:t>东安</w:t>
      </w:r>
      <w:r>
        <w:rPr>
          <w:rFonts w:hint="eastAsia" w:ascii="仿宋_GB2312" w:hAnsi="仿宋_GB2312" w:eastAsia="仿宋_GB2312" w:cs="仿宋_GB2312"/>
          <w:color w:val="auto"/>
          <w:sz w:val="32"/>
          <w:szCs w:val="32"/>
        </w:rPr>
        <w:t>分局具体负责，</w:t>
      </w:r>
      <w:r>
        <w:rPr>
          <w:rFonts w:hint="eastAsia" w:ascii="仿宋_GB2312" w:hAnsi="仿宋_GB2312" w:eastAsia="仿宋_GB2312" w:cs="仿宋_GB2312"/>
          <w:color w:val="auto"/>
          <w:sz w:val="32"/>
          <w:szCs w:val="32"/>
          <w:lang w:eastAsia="zh-CN"/>
        </w:rPr>
        <w:t>东安</w:t>
      </w:r>
      <w:r>
        <w:rPr>
          <w:rFonts w:hint="eastAsia" w:ascii="仿宋_GB2312" w:hAnsi="仿宋_GB2312" w:eastAsia="仿宋_GB2312" w:cs="仿宋_GB2312"/>
          <w:color w:val="auto"/>
          <w:sz w:val="32"/>
          <w:szCs w:val="32"/>
        </w:rPr>
        <w:t>分局应明确具体监管人员，压实工作责任，定期开展巡查，重大问题及时向市生态环境局和市生态环境保护综合行政执法支队报告。</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spacing w:line="600" w:lineRule="exact"/>
        <w:ind w:firstLine="4419" w:firstLineChars="1381"/>
        <w:jc w:val="center"/>
        <w:textAlignment w:val="auto"/>
        <w:rPr>
          <w:rFonts w:hint="eastAsia" w:ascii="仿宋_GB2312" w:hAnsi="仿宋_GB2312" w:eastAsia="仿宋_GB2312" w:cs="仿宋_GB2312"/>
          <w:color w:val="000000" w:themeColor="text1"/>
          <w:sz w:val="32"/>
          <w:szCs w:val="32"/>
          <w:lang w:val="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600" w:lineRule="exact"/>
        <w:ind w:firstLine="4419" w:firstLineChars="1381"/>
        <w:jc w:val="center"/>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zh-CN"/>
          <w14:textFill>
            <w14:solidFill>
              <w14:schemeClr w14:val="tx1"/>
            </w14:solidFill>
          </w14:textFill>
        </w:rPr>
        <w:t>永州市生态环境局</w:t>
      </w:r>
    </w:p>
    <w:p>
      <w:pPr>
        <w:keepNext w:val="0"/>
        <w:keepLines w:val="0"/>
        <w:pageBreakBefore w:val="0"/>
        <w:widowControl w:val="0"/>
        <w:kinsoku/>
        <w:wordWrap/>
        <w:overflowPunct/>
        <w:topLinePunct w:val="0"/>
        <w:autoSpaceDE/>
        <w:autoSpaceDN/>
        <w:bidi w:val="0"/>
        <w:adjustRightInd w:val="0"/>
        <w:snapToGrid w:val="0"/>
        <w:spacing w:line="600" w:lineRule="exact"/>
        <w:ind w:firstLine="4419" w:firstLineChars="1381"/>
        <w:jc w:val="center"/>
        <w:textAlignment w:val="auto"/>
        <w:rPr>
          <w:rFonts w:hint="eastAsia" w:ascii="仿宋_GB2312" w:hAnsi="仿宋_GB2312" w:eastAsia="仿宋_GB2312" w:cs="仿宋_GB2312"/>
          <w:color w:val="000000" w:themeColor="text1"/>
          <w:sz w:val="32"/>
          <w:szCs w:val="32"/>
          <w:lang w:val="zh-CN"/>
          <w14:textFill>
            <w14:solidFill>
              <w14:schemeClr w14:val="tx1"/>
            </w14:solidFill>
          </w14:textFill>
        </w:rPr>
      </w:pPr>
      <w:r>
        <w:rPr>
          <w:rFonts w:hint="eastAsia" w:ascii="仿宋_GB2312" w:hAnsi="仿宋_GB2312" w:eastAsia="仿宋_GB2312" w:cs="仿宋_GB2312"/>
          <w:color w:val="000000" w:themeColor="text1"/>
          <w:sz w:val="32"/>
          <w:szCs w:val="32"/>
          <w:lang w:val="zh-CN"/>
          <w14:textFill>
            <w14:solidFill>
              <w14:schemeClr w14:val="tx1"/>
            </w14:solidFill>
          </w14:textFill>
        </w:rPr>
        <w:t>20</w:t>
      </w:r>
      <w:r>
        <w:rPr>
          <w:rFonts w:hint="eastAsia" w:ascii="仿宋_GB2312" w:hAnsi="仿宋_GB2312" w:eastAsia="仿宋_GB2312" w:cs="仿宋_GB2312"/>
          <w:color w:val="000000" w:themeColor="text1"/>
          <w:sz w:val="32"/>
          <w:szCs w:val="32"/>
          <w14:textFill>
            <w14:solidFill>
              <w14:schemeClr w14:val="tx1"/>
            </w14:solidFill>
          </w14:textFill>
        </w:rPr>
        <w:t>25</w:t>
      </w:r>
      <w:r>
        <w:rPr>
          <w:rFonts w:hint="eastAsia" w:ascii="仿宋_GB2312" w:hAnsi="仿宋_GB2312" w:eastAsia="仿宋_GB2312" w:cs="仿宋_GB2312"/>
          <w:color w:val="000000" w:themeColor="text1"/>
          <w:sz w:val="32"/>
          <w:szCs w:val="32"/>
          <w:lang w:val="zh-CN"/>
          <w14:textFill>
            <w14:solidFill>
              <w14:schemeClr w14:val="tx1"/>
            </w14:solidFill>
          </w14:textFill>
        </w:rPr>
        <w:t>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w:t>
      </w:r>
      <w:r>
        <w:rPr>
          <w:rFonts w:hint="eastAsia" w:ascii="仿宋_GB2312" w:hAnsi="仿宋_GB2312" w:eastAsia="仿宋_GB2312" w:cs="仿宋_GB2312"/>
          <w:color w:val="000000" w:themeColor="text1"/>
          <w:sz w:val="32"/>
          <w:szCs w:val="32"/>
          <w:lang w:val="zh-CN"/>
          <w14:textFill>
            <w14:solidFill>
              <w14:schemeClr w14:val="tx1"/>
            </w14:solidFill>
          </w14:textFill>
        </w:rPr>
        <w:t>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14</w:t>
      </w:r>
      <w:bookmarkStart w:id="0" w:name="_GoBack"/>
      <w:bookmarkEnd w:id="0"/>
      <w:r>
        <w:rPr>
          <w:rFonts w:hint="eastAsia" w:ascii="仿宋_GB2312" w:hAnsi="仿宋_GB2312" w:eastAsia="仿宋_GB2312" w:cs="仿宋_GB2312"/>
          <w:color w:val="000000" w:themeColor="text1"/>
          <w:sz w:val="32"/>
          <w:szCs w:val="32"/>
          <w:lang w:val="zh-CN"/>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val="0"/>
        <w:snapToGrid w:val="0"/>
        <w:spacing w:line="600" w:lineRule="exact"/>
        <w:ind w:firstLine="4419" w:firstLineChars="1381"/>
        <w:jc w:val="center"/>
        <w:textAlignment w:val="auto"/>
        <w:rPr>
          <w:rFonts w:hint="eastAsia" w:ascii="仿宋_GB2312" w:hAnsi="仿宋_GB2312" w:eastAsia="仿宋_GB2312" w:cs="仿宋_GB2312"/>
          <w:color w:val="000000" w:themeColor="text1"/>
          <w:sz w:val="32"/>
          <w:szCs w:val="32"/>
          <w:lang w:val="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600" w:lineRule="exact"/>
        <w:ind w:firstLine="320" w:firstLineChars="1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抄送：</w:t>
      </w:r>
      <w:r>
        <w:rPr>
          <w:rFonts w:hint="eastAsia" w:ascii="仿宋_GB2312" w:hAnsi="仿宋_GB2312" w:eastAsia="仿宋_GB2312" w:cs="仿宋_GB2312"/>
          <w:color w:val="auto"/>
          <w:sz w:val="32"/>
          <w:szCs w:val="32"/>
          <w:lang w:eastAsia="zh-CN"/>
        </w:rPr>
        <w:t>东安县</w:t>
      </w:r>
      <w:r>
        <w:rPr>
          <w:rFonts w:hint="eastAsia" w:ascii="仿宋_GB2312" w:hAnsi="仿宋_GB2312" w:eastAsia="仿宋_GB2312" w:cs="仿宋_GB2312"/>
          <w:color w:val="auto"/>
          <w:sz w:val="32"/>
          <w:szCs w:val="32"/>
        </w:rPr>
        <w:t>人民政府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000000" w:themeColor="text1"/>
          <w:sz w:val="32"/>
          <w:szCs w:val="32"/>
          <w:lang w:val="zh-CN"/>
          <w14:textFill>
            <w14:solidFill>
              <w14:schemeClr w14:val="tx1"/>
            </w14:solidFill>
          </w14:textFill>
        </w:rPr>
        <w:t>永州</w:t>
      </w:r>
      <w:r>
        <w:rPr>
          <w:rFonts w:hint="eastAsia" w:ascii="仿宋_GB2312" w:hAnsi="仿宋_GB2312" w:eastAsia="仿宋_GB2312" w:cs="仿宋_GB2312"/>
          <w:color w:val="000000" w:themeColor="text1"/>
          <w:sz w:val="32"/>
          <w:szCs w:val="32"/>
          <w14:textFill>
            <w14:solidFill>
              <w14:schemeClr w14:val="tx1"/>
            </w14:solidFill>
          </w14:textFill>
        </w:rPr>
        <w:t>市生态环境保护综合行政执法支队、永州市生态环境局</w:t>
      </w:r>
      <w:r>
        <w:rPr>
          <w:rFonts w:hint="eastAsia" w:ascii="仿宋_GB2312" w:hAnsi="仿宋_GB2312" w:eastAsia="仿宋_GB2312" w:cs="仿宋_GB2312"/>
          <w:color w:val="000000" w:themeColor="text1"/>
          <w:sz w:val="32"/>
          <w:szCs w:val="32"/>
          <w:lang w:eastAsia="zh-CN"/>
          <w14:textFill>
            <w14:solidFill>
              <w14:schemeClr w14:val="tx1"/>
            </w14:solidFill>
          </w14:textFill>
        </w:rPr>
        <w:t>东安分局</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 w:hAnsi="仿宋" w:eastAsia="仿宋" w:cs="仿宋"/>
          <w:sz w:val="32"/>
          <w:szCs w:val="32"/>
        </w:rPr>
        <w:t>湖南</w:t>
      </w:r>
      <w:r>
        <w:rPr>
          <w:rFonts w:hint="eastAsia" w:ascii="仿宋" w:hAnsi="仿宋" w:eastAsia="仿宋" w:cs="仿宋"/>
          <w:sz w:val="32"/>
          <w:szCs w:val="32"/>
          <w:lang w:val="en-US" w:eastAsia="zh-CN"/>
        </w:rPr>
        <w:t>振德环保</w:t>
      </w:r>
      <w:r>
        <w:rPr>
          <w:rFonts w:hint="eastAsia" w:ascii="仿宋" w:hAnsi="仿宋" w:eastAsia="仿宋" w:cs="仿宋"/>
          <w:sz w:val="32"/>
          <w:szCs w:val="32"/>
        </w:rPr>
        <w:t>科技有限公司</w:t>
      </w:r>
      <w:r>
        <w:rPr>
          <w:rFonts w:hint="eastAsia" w:ascii="仿宋_GB2312" w:hAnsi="仿宋_GB2312" w:eastAsia="仿宋_GB2312" w:cs="仿宋_GB2312"/>
          <w:color w:val="000000" w:themeColor="text1"/>
          <w:sz w:val="32"/>
          <w:szCs w:val="32"/>
          <w14:textFill>
            <w14:solidFill>
              <w14:schemeClr w14:val="tx1"/>
            </w14:solidFill>
          </w14:textFill>
        </w:rPr>
        <w:t>。</w:t>
      </w:r>
    </w:p>
    <w:sectPr>
      <w:footerReference r:id="rId3" w:type="default"/>
      <w:pgSz w:w="11906" w:h="16838"/>
      <w:pgMar w:top="1701" w:right="1644" w:bottom="1587" w:left="164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roman"/>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51699"/>
    <w:rsid w:val="00080069"/>
    <w:rsid w:val="00201BC2"/>
    <w:rsid w:val="00250106"/>
    <w:rsid w:val="004146F5"/>
    <w:rsid w:val="005C40F2"/>
    <w:rsid w:val="00C06D1E"/>
    <w:rsid w:val="00ED4D2D"/>
    <w:rsid w:val="02671768"/>
    <w:rsid w:val="05E76E48"/>
    <w:rsid w:val="0AF81AF7"/>
    <w:rsid w:val="0FA24302"/>
    <w:rsid w:val="1226547C"/>
    <w:rsid w:val="236D374D"/>
    <w:rsid w:val="2FF25ECE"/>
    <w:rsid w:val="30A937BD"/>
    <w:rsid w:val="339B05A1"/>
    <w:rsid w:val="353B7AF0"/>
    <w:rsid w:val="36421CF5"/>
    <w:rsid w:val="3FEC8C55"/>
    <w:rsid w:val="442653D5"/>
    <w:rsid w:val="471A6B58"/>
    <w:rsid w:val="57074056"/>
    <w:rsid w:val="63DEBF07"/>
    <w:rsid w:val="6FC1AABE"/>
    <w:rsid w:val="78EB38ED"/>
    <w:rsid w:val="7BFF0F47"/>
    <w:rsid w:val="7E1A788C"/>
    <w:rsid w:val="7F9F9A9A"/>
    <w:rsid w:val="7FCFF4C8"/>
    <w:rsid w:val="7FD7DD80"/>
    <w:rsid w:val="7FFFDB1E"/>
    <w:rsid w:val="9677F267"/>
    <w:rsid w:val="BEE0EF56"/>
    <w:rsid w:val="DFED6D21"/>
    <w:rsid w:val="F6E9460C"/>
    <w:rsid w:val="FBFBBEC9"/>
    <w:rsid w:val="FEE3B9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styleId="5">
    <w:name w:val="Emphasis"/>
    <w:basedOn w:val="4"/>
    <w:qFormat/>
    <w:uiPriority w:val="0"/>
    <w:rPr>
      <w: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2700</Words>
  <Characters>2872</Characters>
  <Lines>20</Lines>
  <Paragraphs>5</Paragraphs>
  <TotalTime>91</TotalTime>
  <ScaleCrop>false</ScaleCrop>
  <LinksUpToDate>false</LinksUpToDate>
  <CharactersWithSpaces>2876</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2025-03-07T18:33:00Z</dcterms:created>
  <dc:creator>Administrator</dc:creator>
  <cp:lastModifiedBy>kylin</cp:lastModifiedBy>
  <cp:lastPrinted>2025-10-14T08:24:00Z</cp:lastPrinted>
  <dcterms:modified xsi:type="dcterms:W3CDTF">2025-10-14T10:41:08Z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ADA6FB9ADF724578947DB9C2EAAC1AEC_11</vt:lpwstr>
  </property>
  <property fmtid="{D5CDD505-2E9C-101B-9397-08002B2CF9AE}" pid="4" name="KSOTemplateDocerSaveRecord">
    <vt:lpwstr>eyJoZGlkIjoiYTQ1ZDg0ODkzYTJlYzhmMzE0ZWE5MWU1MzRkNDEzZWIiLCJ1c2VySWQiOiIzNzgyMjc1MzUifQ==</vt:lpwstr>
  </property>
</Properties>
</file>